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58D" w:rsidRPr="00DD458D" w:rsidRDefault="00DD458D" w:rsidP="00DD458D">
      <w:pPr>
        <w:shd w:val="clear" w:color="auto" w:fill="FFFFFF"/>
        <w:spacing w:before="75" w:after="225" w:line="432" w:lineRule="atLeast"/>
        <w:outlineLvl w:val="0"/>
        <w:rPr>
          <w:rFonts w:ascii="Arial" w:eastAsia="Times New Roman" w:hAnsi="Arial" w:cs="Arial"/>
          <w:color w:val="363636"/>
          <w:kern w:val="36"/>
          <w:sz w:val="32"/>
          <w:szCs w:val="32"/>
        </w:rPr>
      </w:pPr>
      <w:r w:rsidRPr="00DD458D">
        <w:rPr>
          <w:rFonts w:ascii="Arial" w:eastAsia="Times New Roman" w:hAnsi="Arial" w:cs="Arial"/>
          <w:color w:val="363636"/>
          <w:kern w:val="36"/>
          <w:sz w:val="32"/>
          <w:szCs w:val="32"/>
        </w:rPr>
        <w:t>Setting up the Siemens S7-1200 PLC</w:t>
      </w:r>
    </w:p>
    <w:p w:rsidR="00DD458D" w:rsidRPr="00DD458D" w:rsidRDefault="00DD458D" w:rsidP="00DD458D">
      <w:pPr>
        <w:spacing w:after="120" w:line="240" w:lineRule="atLeast"/>
        <w:rPr>
          <w:rFonts w:ascii="Times New Roman" w:eastAsia="Times New Roman" w:hAnsi="Times New Roman" w:cs="Times New Roman"/>
          <w:color w:val="000000"/>
          <w:sz w:val="24"/>
          <w:szCs w:val="24"/>
        </w:rPr>
      </w:pPr>
      <w:r w:rsidRPr="00DD458D">
        <w:rPr>
          <w:rFonts w:ascii="Times New Roman" w:eastAsia="Times New Roman" w:hAnsi="Times New Roman" w:cs="Times New Roman"/>
          <w:color w:val="000000"/>
          <w:sz w:val="24"/>
          <w:szCs w:val="24"/>
        </w:rPr>
        <w:t>This section describes how to set up the Siemens S7-1200 PLC in </w:t>
      </w:r>
      <w:r w:rsidRPr="00DD458D">
        <w:rPr>
          <w:rFonts w:ascii="Times New Roman" w:eastAsia="Times New Roman" w:hAnsi="Times New Roman" w:cs="Times New Roman"/>
          <w:i/>
          <w:iCs/>
          <w:color w:val="000000"/>
          <w:sz w:val="24"/>
          <w:szCs w:val="24"/>
        </w:rPr>
        <w:t>TIA Portal</w:t>
      </w:r>
      <w:r w:rsidRPr="00DD458D">
        <w:rPr>
          <w:rFonts w:ascii="Times New Roman" w:eastAsia="Times New Roman" w:hAnsi="Times New Roman" w:cs="Times New Roman"/>
          <w:color w:val="000000"/>
          <w:sz w:val="24"/>
          <w:szCs w:val="24"/>
        </w:rPr>
        <w:t> to connect with the In-Sight vision system.</w:t>
      </w:r>
    </w:p>
    <w:p w:rsidR="00DD458D" w:rsidRPr="00DD458D" w:rsidRDefault="00C762BF" w:rsidP="00DD458D">
      <w:pPr>
        <w:spacing w:after="0" w:line="240" w:lineRule="atLeast"/>
        <w:rPr>
          <w:rFonts w:ascii="Times New Roman" w:eastAsia="Times New Roman" w:hAnsi="Times New Roman" w:cs="Times New Roman"/>
          <w:color w:val="004B7D"/>
          <w:sz w:val="24"/>
          <w:szCs w:val="24"/>
        </w:rPr>
      </w:pPr>
      <w:hyperlink r:id="rId7" w:history="1">
        <w:r w:rsidR="00DD458D" w:rsidRPr="00DD458D">
          <w:rPr>
            <w:rFonts w:ascii="Times New Roman" w:eastAsia="Times New Roman" w:hAnsi="Times New Roman" w:cs="Times New Roman"/>
            <w:color w:val="004B7D"/>
            <w:sz w:val="24"/>
            <w:szCs w:val="24"/>
            <w:bdr w:val="none" w:sz="0" w:space="0" w:color="auto" w:frame="1"/>
          </w:rPr>
          <w:t>Configuring the PLC Hardware</w:t>
        </w:r>
      </w:hyperlink>
    </w:p>
    <w:p w:rsidR="00DD458D" w:rsidRPr="00DD458D" w:rsidRDefault="00C762BF" w:rsidP="00DD458D">
      <w:pPr>
        <w:spacing w:after="0" w:line="240" w:lineRule="atLeast"/>
        <w:rPr>
          <w:rFonts w:ascii="Times New Roman" w:eastAsia="Times New Roman" w:hAnsi="Times New Roman" w:cs="Times New Roman"/>
          <w:color w:val="004B7D"/>
          <w:sz w:val="24"/>
          <w:szCs w:val="24"/>
        </w:rPr>
      </w:pPr>
      <w:hyperlink r:id="rId8" w:history="1">
        <w:r w:rsidR="00DD458D" w:rsidRPr="00DD458D">
          <w:rPr>
            <w:rFonts w:ascii="Times New Roman" w:eastAsia="Times New Roman" w:hAnsi="Times New Roman" w:cs="Times New Roman"/>
            <w:color w:val="004B7D"/>
            <w:sz w:val="24"/>
            <w:szCs w:val="24"/>
            <w:bdr w:val="none" w:sz="0" w:space="0" w:color="auto" w:frame="1"/>
          </w:rPr>
          <w:t>Importing the GSD File into the Catalog</w:t>
        </w:r>
      </w:hyperlink>
    </w:p>
    <w:p w:rsidR="00DD458D" w:rsidRPr="00DD458D" w:rsidRDefault="00C762BF" w:rsidP="00DD458D">
      <w:pPr>
        <w:spacing w:after="0" w:line="240" w:lineRule="atLeast"/>
        <w:rPr>
          <w:rFonts w:ascii="Times New Roman" w:eastAsia="Times New Roman" w:hAnsi="Times New Roman" w:cs="Times New Roman"/>
          <w:color w:val="004B7D"/>
          <w:sz w:val="24"/>
          <w:szCs w:val="24"/>
        </w:rPr>
      </w:pPr>
      <w:hyperlink r:id="rId9" w:history="1">
        <w:r w:rsidR="00DD458D" w:rsidRPr="00DD458D">
          <w:rPr>
            <w:rFonts w:ascii="Times New Roman" w:eastAsia="Times New Roman" w:hAnsi="Times New Roman" w:cs="Times New Roman"/>
            <w:color w:val="004B7D"/>
            <w:sz w:val="24"/>
            <w:szCs w:val="24"/>
            <w:bdr w:val="none" w:sz="0" w:space="0" w:color="auto" w:frame="1"/>
          </w:rPr>
          <w:t>Adding the In-Sight Vision System to the Hardware Configuration</w:t>
        </w:r>
      </w:hyperlink>
    </w:p>
    <w:p w:rsidR="00DD458D" w:rsidRPr="00DD458D" w:rsidRDefault="00C762BF" w:rsidP="00DD458D">
      <w:pPr>
        <w:spacing w:after="0" w:line="240" w:lineRule="atLeast"/>
        <w:rPr>
          <w:rFonts w:ascii="Times New Roman" w:eastAsia="Times New Roman" w:hAnsi="Times New Roman" w:cs="Times New Roman"/>
          <w:color w:val="004B7D"/>
          <w:sz w:val="24"/>
          <w:szCs w:val="24"/>
        </w:rPr>
      </w:pPr>
      <w:hyperlink r:id="rId10" w:history="1">
        <w:r w:rsidR="00DD458D" w:rsidRPr="00DD458D">
          <w:rPr>
            <w:rFonts w:ascii="Times New Roman" w:eastAsia="Times New Roman" w:hAnsi="Times New Roman" w:cs="Times New Roman"/>
            <w:color w:val="004B7D"/>
            <w:sz w:val="24"/>
            <w:szCs w:val="24"/>
            <w:bdr w:val="none" w:sz="0" w:space="0" w:color="auto" w:frame="1"/>
          </w:rPr>
          <w:t>Downloading the Configuration into the PLC</w:t>
        </w:r>
      </w:hyperlink>
    </w:p>
    <w:p w:rsidR="00DD458D" w:rsidRDefault="00C762BF" w:rsidP="00DD458D">
      <w:pPr>
        <w:spacing w:after="0" w:line="240" w:lineRule="atLeast"/>
        <w:rPr>
          <w:rFonts w:ascii="Times New Roman" w:eastAsia="Times New Roman" w:hAnsi="Times New Roman" w:cs="Times New Roman"/>
          <w:color w:val="004B7D"/>
          <w:sz w:val="24"/>
          <w:szCs w:val="24"/>
          <w:bdr w:val="none" w:sz="0" w:space="0" w:color="auto" w:frame="1"/>
        </w:rPr>
      </w:pPr>
      <w:hyperlink r:id="rId11" w:history="1">
        <w:r w:rsidR="00DD458D" w:rsidRPr="00DD458D">
          <w:rPr>
            <w:rFonts w:ascii="Times New Roman" w:eastAsia="Times New Roman" w:hAnsi="Times New Roman" w:cs="Times New Roman"/>
            <w:color w:val="004B7D"/>
            <w:sz w:val="24"/>
            <w:szCs w:val="24"/>
            <w:bdr w:val="none" w:sz="0" w:space="0" w:color="auto" w:frame="1"/>
          </w:rPr>
          <w:t>Creating Monitoring Variables</w:t>
        </w:r>
      </w:hyperlink>
    </w:p>
    <w:p w:rsidR="00870AAC" w:rsidRDefault="00870AAC" w:rsidP="00DD458D">
      <w:pPr>
        <w:spacing w:after="0" w:line="240" w:lineRule="atLeast"/>
        <w:rPr>
          <w:rFonts w:ascii="Times New Roman" w:eastAsia="Times New Roman" w:hAnsi="Times New Roman" w:cs="Times New Roman"/>
          <w:color w:val="004B7D"/>
          <w:sz w:val="24"/>
          <w:szCs w:val="24"/>
          <w:bdr w:val="none" w:sz="0" w:space="0" w:color="auto" w:frame="1"/>
        </w:rPr>
      </w:pPr>
    </w:p>
    <w:p w:rsidR="00DD458D" w:rsidRDefault="00DD458D"/>
    <w:p w:rsidR="00DD458D" w:rsidRPr="00DD458D" w:rsidRDefault="00DD458D" w:rsidP="00DD458D">
      <w:pPr>
        <w:pStyle w:val="Heading1"/>
        <w:shd w:val="clear" w:color="auto" w:fill="FFFFFF"/>
        <w:spacing w:before="75" w:beforeAutospacing="0" w:after="225" w:afterAutospacing="0" w:line="432" w:lineRule="atLeast"/>
        <w:rPr>
          <w:rFonts w:ascii="Arial" w:hAnsi="Arial" w:cs="Arial"/>
          <w:b w:val="0"/>
          <w:bCs w:val="0"/>
          <w:color w:val="363636"/>
          <w:sz w:val="28"/>
          <w:szCs w:val="28"/>
        </w:rPr>
      </w:pPr>
      <w:r w:rsidRPr="00DD458D">
        <w:rPr>
          <w:rFonts w:ascii="Arial" w:hAnsi="Arial" w:cs="Arial"/>
          <w:b w:val="0"/>
          <w:bCs w:val="0"/>
          <w:color w:val="363636"/>
          <w:sz w:val="28"/>
          <w:szCs w:val="28"/>
        </w:rPr>
        <w:t>Configuring the PLC Hardware</w:t>
      </w:r>
    </w:p>
    <w:p w:rsidR="00DD458D" w:rsidRDefault="00DD458D" w:rsidP="00DD458D">
      <w:pPr>
        <w:pStyle w:val="NormalWeb"/>
        <w:spacing w:before="0" w:beforeAutospacing="0" w:after="120" w:afterAutospacing="0" w:line="240" w:lineRule="atLeast"/>
        <w:rPr>
          <w:rFonts w:ascii="Arial" w:hAnsi="Arial" w:cs="Arial"/>
          <w:color w:val="000000"/>
          <w:sz w:val="18"/>
          <w:szCs w:val="18"/>
        </w:rPr>
      </w:pPr>
      <w:r>
        <w:rPr>
          <w:rFonts w:ascii="Arial" w:hAnsi="Arial" w:cs="Arial"/>
          <w:color w:val="000000"/>
          <w:sz w:val="18"/>
          <w:szCs w:val="18"/>
        </w:rPr>
        <w:t>Configure the PLC hardware with TIA Portal by following the below steps:</w:t>
      </w:r>
    </w:p>
    <w:p w:rsidR="00DD458D" w:rsidRDefault="00DD458D" w:rsidP="00DD458D">
      <w:pPr>
        <w:numPr>
          <w:ilvl w:val="0"/>
          <w:numId w:val="1"/>
        </w:numPr>
        <w:spacing w:before="80" w:after="120" w:line="240" w:lineRule="atLeast"/>
        <w:rPr>
          <w:rFonts w:ascii="Arial" w:hAnsi="Arial" w:cs="Arial"/>
          <w:color w:val="000000"/>
          <w:sz w:val="18"/>
          <w:szCs w:val="18"/>
        </w:rPr>
      </w:pPr>
      <w:r>
        <w:rPr>
          <w:rFonts w:ascii="Arial" w:hAnsi="Arial" w:cs="Arial"/>
          <w:color w:val="000000"/>
          <w:sz w:val="18"/>
          <w:szCs w:val="18"/>
        </w:rPr>
        <w:t>Launch TIA Portal, and create a new project.</w:t>
      </w:r>
    </w:p>
    <w:p w:rsidR="00870AAC" w:rsidRDefault="00870AAC" w:rsidP="00870AAC">
      <w:pPr>
        <w:spacing w:before="80" w:after="120" w:line="240" w:lineRule="atLeast"/>
        <w:ind w:left="720"/>
        <w:rPr>
          <w:rFonts w:ascii="Arial" w:hAnsi="Arial" w:cs="Arial"/>
          <w:color w:val="000000"/>
          <w:sz w:val="18"/>
          <w:szCs w:val="18"/>
        </w:rPr>
      </w:pPr>
    </w:p>
    <w:p w:rsidR="00DD458D" w:rsidRDefault="00DD458D" w:rsidP="00870AAC">
      <w:pPr>
        <w:pStyle w:val="NormalWeb"/>
        <w:numPr>
          <w:ilvl w:val="0"/>
          <w:numId w:val="2"/>
        </w:numPr>
        <w:spacing w:before="0" w:beforeAutospacing="0" w:after="120" w:afterAutospacing="0" w:line="240" w:lineRule="atLeast"/>
        <w:rPr>
          <w:rFonts w:ascii="Arial" w:hAnsi="Arial" w:cs="Arial"/>
          <w:color w:val="000000"/>
          <w:sz w:val="18"/>
          <w:szCs w:val="18"/>
        </w:rPr>
      </w:pPr>
      <w:r>
        <w:rPr>
          <w:rFonts w:ascii="Arial" w:hAnsi="Arial" w:cs="Arial"/>
          <w:color w:val="000000"/>
          <w:sz w:val="18"/>
          <w:szCs w:val="18"/>
        </w:rPr>
        <w:t>Add the S7-1200 PLC to the project. To do so, double-click on </w:t>
      </w:r>
      <w:r>
        <w:rPr>
          <w:rFonts w:ascii="Arial" w:hAnsi="Arial" w:cs="Arial"/>
          <w:b/>
          <w:bCs/>
          <w:color w:val="000000"/>
          <w:sz w:val="18"/>
          <w:szCs w:val="18"/>
        </w:rPr>
        <w:t>Add new device</w:t>
      </w:r>
      <w:r>
        <w:rPr>
          <w:rFonts w:ascii="Arial" w:hAnsi="Arial" w:cs="Arial"/>
          <w:color w:val="000000"/>
          <w:sz w:val="18"/>
          <w:szCs w:val="18"/>
        </w:rPr>
        <w:t> on the left pane of the user interface, then select the correct PLC type, as shown below.</w:t>
      </w:r>
    </w:p>
    <w:p w:rsidR="00DD458D" w:rsidRDefault="00DD458D" w:rsidP="00DD458D">
      <w:pPr>
        <w:pStyle w:val="NormalWeb"/>
        <w:spacing w:before="0" w:beforeAutospacing="0" w:after="120" w:afterAutospacing="0" w:line="240" w:lineRule="atLeast"/>
        <w:ind w:left="720"/>
        <w:rPr>
          <w:rFonts w:ascii="Arial" w:hAnsi="Arial" w:cs="Arial"/>
          <w:color w:val="000000"/>
          <w:sz w:val="18"/>
          <w:szCs w:val="18"/>
        </w:rPr>
      </w:pPr>
      <w:r>
        <w:rPr>
          <w:rFonts w:ascii="Arial" w:hAnsi="Arial" w:cs="Arial"/>
          <w:noProof/>
          <w:color w:val="000000"/>
          <w:sz w:val="18"/>
          <w:szCs w:val="18"/>
        </w:rPr>
        <w:drawing>
          <wp:inline distT="0" distB="0" distL="0" distR="0">
            <wp:extent cx="5157111" cy="3117850"/>
            <wp:effectExtent l="0" t="0" r="5715" b="6350"/>
            <wp:docPr id="2" name="Picture 2" descr="https://support.cognex.com/docs/isvidi_130/web/EN/Help_ISViDi/Content/Images/PROFINET_Siemens_S7_Config_TIAPORTAL/ConfigPLC_HW_AddNewDev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upport.cognex.com/docs/isvidi_130/web/EN/Help_ISViDi/Content/Images/PROFINET_Siemens_S7_Config_TIAPORTAL/ConfigPLC_HW_AddNewDevic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0930" cy="3144342"/>
                    </a:xfrm>
                    <a:prstGeom prst="rect">
                      <a:avLst/>
                    </a:prstGeom>
                    <a:noFill/>
                    <a:ln>
                      <a:noFill/>
                    </a:ln>
                  </pic:spPr>
                </pic:pic>
              </a:graphicData>
            </a:graphic>
          </wp:inline>
        </w:drawing>
      </w:r>
    </w:p>
    <w:p w:rsidR="00DD458D" w:rsidRDefault="00DD458D" w:rsidP="00870AAC">
      <w:pPr>
        <w:pStyle w:val="NormalWeb"/>
        <w:numPr>
          <w:ilvl w:val="0"/>
          <w:numId w:val="3"/>
        </w:numPr>
        <w:spacing w:before="0" w:beforeAutospacing="0" w:after="120" w:afterAutospacing="0" w:line="240" w:lineRule="atLeast"/>
        <w:ind w:hanging="450"/>
        <w:rPr>
          <w:rFonts w:ascii="Arial" w:hAnsi="Arial" w:cs="Arial"/>
          <w:color w:val="000000"/>
          <w:sz w:val="18"/>
          <w:szCs w:val="18"/>
        </w:rPr>
      </w:pPr>
      <w:r>
        <w:rPr>
          <w:rFonts w:ascii="Arial" w:hAnsi="Arial" w:cs="Arial"/>
          <w:color w:val="000000"/>
          <w:sz w:val="18"/>
          <w:szCs w:val="18"/>
        </w:rPr>
        <w:t>Double-click on </w:t>
      </w:r>
      <w:r>
        <w:rPr>
          <w:rFonts w:ascii="Arial" w:hAnsi="Arial" w:cs="Arial"/>
          <w:b/>
          <w:bCs/>
          <w:color w:val="000000"/>
          <w:sz w:val="18"/>
          <w:szCs w:val="18"/>
        </w:rPr>
        <w:t>Devices &amp; networks</w:t>
      </w:r>
      <w:r>
        <w:rPr>
          <w:rFonts w:ascii="Arial" w:hAnsi="Arial" w:cs="Arial"/>
          <w:color w:val="000000"/>
          <w:sz w:val="18"/>
          <w:szCs w:val="18"/>
        </w:rPr>
        <w:t> on the left pane, select </w:t>
      </w:r>
      <w:r>
        <w:rPr>
          <w:rFonts w:ascii="Arial" w:hAnsi="Arial" w:cs="Arial"/>
          <w:b/>
          <w:bCs/>
          <w:color w:val="000000"/>
          <w:sz w:val="18"/>
          <w:szCs w:val="18"/>
        </w:rPr>
        <w:t>Network view</w:t>
      </w:r>
      <w:r>
        <w:rPr>
          <w:rFonts w:ascii="Arial" w:hAnsi="Arial" w:cs="Arial"/>
          <w:color w:val="000000"/>
          <w:sz w:val="18"/>
          <w:szCs w:val="18"/>
        </w:rPr>
        <w:t> on the top, then click on the </w:t>
      </w:r>
      <w:r>
        <w:rPr>
          <w:rFonts w:ascii="Arial" w:hAnsi="Arial" w:cs="Arial"/>
          <w:b/>
          <w:bCs/>
          <w:color w:val="000000"/>
          <w:sz w:val="18"/>
          <w:szCs w:val="18"/>
        </w:rPr>
        <w:t>PLC CPU</w:t>
      </w:r>
      <w:r>
        <w:rPr>
          <w:rFonts w:ascii="Arial" w:hAnsi="Arial" w:cs="Arial"/>
          <w:color w:val="000000"/>
          <w:sz w:val="18"/>
          <w:szCs w:val="18"/>
        </w:rPr>
        <w:t> symbol. Select </w:t>
      </w:r>
      <w:r>
        <w:rPr>
          <w:rFonts w:ascii="Arial" w:hAnsi="Arial" w:cs="Arial"/>
          <w:b/>
          <w:bCs/>
          <w:color w:val="000000"/>
          <w:sz w:val="18"/>
          <w:szCs w:val="18"/>
        </w:rPr>
        <w:t>General</w:t>
      </w:r>
      <w:r>
        <w:rPr>
          <w:rFonts w:ascii="Arial" w:hAnsi="Arial" w:cs="Arial"/>
          <w:color w:val="000000"/>
          <w:sz w:val="18"/>
          <w:szCs w:val="18"/>
        </w:rPr>
        <w:t> on the bottom and click on </w:t>
      </w:r>
      <w:r>
        <w:rPr>
          <w:rFonts w:ascii="Arial" w:hAnsi="Arial" w:cs="Arial"/>
          <w:b/>
          <w:bCs/>
          <w:color w:val="000000"/>
          <w:sz w:val="18"/>
          <w:szCs w:val="18"/>
        </w:rPr>
        <w:t>PROFINET interface</w:t>
      </w:r>
      <w:r>
        <w:rPr>
          <w:rFonts w:ascii="Arial" w:hAnsi="Arial" w:cs="Arial"/>
          <w:color w:val="000000"/>
          <w:sz w:val="18"/>
          <w:szCs w:val="18"/>
        </w:rPr>
        <w:t>. Set the IP address, subnet mask and gateway for the CPU as shown below.</w:t>
      </w:r>
    </w:p>
    <w:p w:rsidR="00DD458D" w:rsidRDefault="00DD458D" w:rsidP="00DD458D">
      <w:pPr>
        <w:pStyle w:val="NormalWeb"/>
        <w:spacing w:before="0" w:beforeAutospacing="0" w:after="120" w:afterAutospacing="0" w:line="240" w:lineRule="atLeast"/>
        <w:ind w:left="720"/>
        <w:rPr>
          <w:rFonts w:ascii="Arial" w:hAnsi="Arial" w:cs="Arial"/>
          <w:color w:val="000000"/>
          <w:sz w:val="18"/>
          <w:szCs w:val="18"/>
        </w:rPr>
      </w:pPr>
      <w:r>
        <w:rPr>
          <w:rFonts w:ascii="Arial" w:hAnsi="Arial" w:cs="Arial"/>
          <w:noProof/>
          <w:color w:val="000000"/>
          <w:sz w:val="18"/>
          <w:szCs w:val="18"/>
        </w:rPr>
        <w:lastRenderedPageBreak/>
        <w:drawing>
          <wp:inline distT="0" distB="0" distL="0" distR="0">
            <wp:extent cx="5168900" cy="3182555"/>
            <wp:effectExtent l="0" t="0" r="0" b="0"/>
            <wp:docPr id="1" name="Picture 1" descr="https://support.cognex.com/docs/isvidi_130/web/EN/Help_ISViDi/Content/Images/PROFINET_Siemens_S7_Config_TIAPORTAL/ConfigPLC_HW_PROFINET_Interf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upport.cognex.com/docs/isvidi_130/web/EN/Help_ISViDi/Content/Images/PROFINET_Siemens_S7_Config_TIAPORTAL/ConfigPLC_HW_PROFINET_Interfac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6104" cy="3223933"/>
                    </a:xfrm>
                    <a:prstGeom prst="rect">
                      <a:avLst/>
                    </a:prstGeom>
                    <a:noFill/>
                    <a:ln>
                      <a:noFill/>
                    </a:ln>
                  </pic:spPr>
                </pic:pic>
              </a:graphicData>
            </a:graphic>
          </wp:inline>
        </w:drawing>
      </w:r>
    </w:p>
    <w:p w:rsidR="00870AAC" w:rsidRDefault="00870AAC" w:rsidP="00DD458D">
      <w:pPr>
        <w:pStyle w:val="NormalWeb"/>
        <w:spacing w:before="0" w:beforeAutospacing="0" w:after="120" w:afterAutospacing="0" w:line="240" w:lineRule="atLeast"/>
        <w:ind w:left="720"/>
        <w:rPr>
          <w:rFonts w:ascii="Arial" w:hAnsi="Arial" w:cs="Arial"/>
          <w:color w:val="000000"/>
          <w:sz w:val="18"/>
          <w:szCs w:val="18"/>
        </w:rPr>
      </w:pPr>
    </w:p>
    <w:p w:rsidR="00DD458D" w:rsidRPr="00DD458D" w:rsidRDefault="00DD458D" w:rsidP="00DD458D">
      <w:pPr>
        <w:pStyle w:val="Heading1"/>
        <w:shd w:val="clear" w:color="auto" w:fill="FFFFFF"/>
        <w:spacing w:before="75" w:beforeAutospacing="0" w:after="225" w:afterAutospacing="0" w:line="432" w:lineRule="atLeast"/>
        <w:rPr>
          <w:rFonts w:ascii="Arial" w:hAnsi="Arial" w:cs="Arial"/>
          <w:b w:val="0"/>
          <w:bCs w:val="0"/>
          <w:color w:val="363636"/>
          <w:sz w:val="28"/>
          <w:szCs w:val="28"/>
        </w:rPr>
      </w:pPr>
      <w:r w:rsidRPr="00DD458D">
        <w:rPr>
          <w:rFonts w:ascii="Arial" w:hAnsi="Arial" w:cs="Arial"/>
          <w:b w:val="0"/>
          <w:bCs w:val="0"/>
          <w:color w:val="363636"/>
          <w:sz w:val="28"/>
          <w:szCs w:val="28"/>
        </w:rPr>
        <w:t>Importing the GSD File into the Catalog</w:t>
      </w:r>
    </w:p>
    <w:p w:rsidR="00DD458D" w:rsidRDefault="00DD458D" w:rsidP="00DD458D">
      <w:pPr>
        <w:pStyle w:val="NormalWeb"/>
        <w:spacing w:before="0" w:beforeAutospacing="0" w:after="120" w:afterAutospacing="0" w:line="240" w:lineRule="atLeast"/>
        <w:rPr>
          <w:rFonts w:ascii="Arial" w:hAnsi="Arial" w:cs="Arial"/>
          <w:color w:val="000000"/>
          <w:sz w:val="18"/>
          <w:szCs w:val="18"/>
        </w:rPr>
      </w:pPr>
      <w:r>
        <w:rPr>
          <w:rFonts w:ascii="Arial" w:hAnsi="Arial" w:cs="Arial"/>
          <w:color w:val="000000"/>
          <w:sz w:val="18"/>
          <w:szCs w:val="18"/>
        </w:rPr>
        <w:t>The In-Sight </w:t>
      </w:r>
      <w:r>
        <w:rPr>
          <w:rStyle w:val="globalglobaldevicelowercase"/>
          <w:rFonts w:ascii="Arial" w:hAnsi="Arial" w:cs="Arial"/>
          <w:color w:val="000000"/>
          <w:sz w:val="18"/>
          <w:szCs w:val="18"/>
        </w:rPr>
        <w:t>vision system</w:t>
      </w:r>
      <w:r>
        <w:rPr>
          <w:rFonts w:ascii="Arial" w:hAnsi="Arial" w:cs="Arial"/>
          <w:color w:val="000000"/>
          <w:sz w:val="18"/>
          <w:szCs w:val="18"/>
        </w:rPr>
        <w:t> appears in the </w:t>
      </w:r>
      <w:r>
        <w:rPr>
          <w:rFonts w:ascii="Arial" w:hAnsi="Arial" w:cs="Arial"/>
          <w:i/>
          <w:iCs/>
          <w:color w:val="000000"/>
          <w:sz w:val="18"/>
          <w:szCs w:val="18"/>
        </w:rPr>
        <w:t>Catalog</w:t>
      </w:r>
      <w:r>
        <w:rPr>
          <w:rFonts w:ascii="Arial" w:hAnsi="Arial" w:cs="Arial"/>
          <w:color w:val="000000"/>
          <w:sz w:val="18"/>
          <w:szCs w:val="18"/>
        </w:rPr>
        <w:t> only if its GSD file is installed. This must be performed only once, when the </w:t>
      </w:r>
      <w:r>
        <w:rPr>
          <w:rStyle w:val="globalglobaldevicelowercase"/>
          <w:rFonts w:ascii="Arial" w:hAnsi="Arial" w:cs="Arial"/>
          <w:color w:val="000000"/>
          <w:sz w:val="18"/>
          <w:szCs w:val="18"/>
        </w:rPr>
        <w:t>vision system</w:t>
      </w:r>
      <w:r>
        <w:rPr>
          <w:rFonts w:ascii="Arial" w:hAnsi="Arial" w:cs="Arial"/>
          <w:color w:val="000000"/>
          <w:sz w:val="18"/>
          <w:szCs w:val="18"/>
        </w:rPr>
        <w:t> is configured on the PLC the first time.</w:t>
      </w:r>
    </w:p>
    <w:p w:rsidR="00DD458D" w:rsidRDefault="00DD458D" w:rsidP="00DD458D">
      <w:pPr>
        <w:pStyle w:val="NormalWeb"/>
        <w:spacing w:before="0" w:beforeAutospacing="0" w:after="120" w:afterAutospacing="0" w:line="240" w:lineRule="atLeast"/>
        <w:rPr>
          <w:rFonts w:ascii="Arial" w:hAnsi="Arial" w:cs="Arial"/>
          <w:color w:val="000000"/>
          <w:sz w:val="18"/>
          <w:szCs w:val="18"/>
        </w:rPr>
      </w:pPr>
      <w:r>
        <w:rPr>
          <w:rFonts w:ascii="Arial" w:hAnsi="Arial" w:cs="Arial"/>
          <w:color w:val="000000"/>
          <w:sz w:val="18"/>
          <w:szCs w:val="18"/>
        </w:rPr>
        <w:t>To install the GSD file for the In-Sight </w:t>
      </w:r>
      <w:r>
        <w:rPr>
          <w:rStyle w:val="globalglobaldevicelowercase"/>
          <w:rFonts w:ascii="Arial" w:hAnsi="Arial" w:cs="Arial"/>
          <w:color w:val="000000"/>
          <w:sz w:val="18"/>
          <w:szCs w:val="18"/>
        </w:rPr>
        <w:t>vision system</w:t>
      </w:r>
      <w:r>
        <w:rPr>
          <w:rFonts w:ascii="Arial" w:hAnsi="Arial" w:cs="Arial"/>
          <w:color w:val="000000"/>
          <w:sz w:val="18"/>
          <w:szCs w:val="18"/>
        </w:rPr>
        <w:t>, follow the below steps:</w:t>
      </w:r>
    </w:p>
    <w:p w:rsidR="00DD458D" w:rsidRDefault="00DD458D" w:rsidP="00870AAC">
      <w:pPr>
        <w:pStyle w:val="NormalWeb"/>
        <w:numPr>
          <w:ilvl w:val="0"/>
          <w:numId w:val="4"/>
        </w:numPr>
        <w:spacing w:before="0" w:beforeAutospacing="0" w:after="120" w:afterAutospacing="0" w:line="240" w:lineRule="atLeast"/>
        <w:rPr>
          <w:rFonts w:ascii="Arial" w:hAnsi="Arial" w:cs="Arial"/>
          <w:color w:val="000000"/>
          <w:sz w:val="18"/>
          <w:szCs w:val="18"/>
        </w:rPr>
      </w:pPr>
      <w:r>
        <w:rPr>
          <w:rFonts w:ascii="Arial" w:hAnsi="Arial" w:cs="Arial"/>
          <w:color w:val="000000"/>
          <w:sz w:val="18"/>
          <w:szCs w:val="18"/>
        </w:rPr>
        <w:t>Click on the </w:t>
      </w:r>
      <w:r>
        <w:rPr>
          <w:rFonts w:ascii="Arial" w:hAnsi="Arial" w:cs="Arial"/>
          <w:b/>
          <w:bCs/>
          <w:color w:val="000000"/>
          <w:sz w:val="18"/>
          <w:szCs w:val="18"/>
        </w:rPr>
        <w:t>Options</w:t>
      </w:r>
      <w:r>
        <w:rPr>
          <w:rFonts w:ascii="Arial" w:hAnsi="Arial" w:cs="Arial"/>
          <w:color w:val="000000"/>
          <w:sz w:val="18"/>
          <w:szCs w:val="18"/>
        </w:rPr>
        <w:t> menu, and then on the </w:t>
      </w:r>
      <w:r>
        <w:rPr>
          <w:rFonts w:ascii="Arial" w:hAnsi="Arial" w:cs="Arial"/>
          <w:b/>
          <w:bCs/>
          <w:color w:val="000000"/>
          <w:sz w:val="18"/>
          <w:szCs w:val="18"/>
        </w:rPr>
        <w:t>Install general station description file (GSD)</w:t>
      </w:r>
      <w:r>
        <w:rPr>
          <w:rFonts w:ascii="Arial" w:hAnsi="Arial" w:cs="Arial"/>
          <w:color w:val="000000"/>
          <w:sz w:val="18"/>
          <w:szCs w:val="18"/>
        </w:rPr>
        <w:t> option.</w:t>
      </w:r>
    </w:p>
    <w:p w:rsidR="00DD458D" w:rsidRDefault="00DD458D" w:rsidP="00DD458D">
      <w:pPr>
        <w:pStyle w:val="NormalWeb"/>
        <w:spacing w:before="0" w:beforeAutospacing="0" w:after="120" w:afterAutospacing="0" w:line="240" w:lineRule="atLeast"/>
        <w:ind w:left="720"/>
        <w:rPr>
          <w:rFonts w:ascii="Arial" w:hAnsi="Arial" w:cs="Arial"/>
          <w:color w:val="000000"/>
          <w:sz w:val="18"/>
          <w:szCs w:val="18"/>
        </w:rPr>
      </w:pPr>
      <w:r>
        <w:rPr>
          <w:rFonts w:ascii="Arial" w:hAnsi="Arial" w:cs="Arial"/>
          <w:noProof/>
          <w:color w:val="000000"/>
          <w:sz w:val="18"/>
          <w:szCs w:val="18"/>
        </w:rPr>
        <w:drawing>
          <wp:inline distT="0" distB="0" distL="0" distR="0">
            <wp:extent cx="5124450" cy="1708150"/>
            <wp:effectExtent l="0" t="0" r="0" b="6350"/>
            <wp:docPr id="5" name="Picture 5" descr="https://support.cognex.com/docs/isvidi_130/web/EN/Help_ISViDi/Content/Images/PROFINET_Siemens_S7_Config_TIAPORTAL/ImportGSD_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upport.cognex.com/docs/isvidi_130/web/EN/Help_ISViDi/Content/Images/PROFINET_Siemens_S7_Config_TIAPORTAL/ImportGSD_Option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24450" cy="1708150"/>
                    </a:xfrm>
                    <a:prstGeom prst="rect">
                      <a:avLst/>
                    </a:prstGeom>
                    <a:noFill/>
                    <a:ln>
                      <a:noFill/>
                    </a:ln>
                  </pic:spPr>
                </pic:pic>
              </a:graphicData>
            </a:graphic>
          </wp:inline>
        </w:drawing>
      </w:r>
    </w:p>
    <w:p w:rsidR="00DD458D" w:rsidRDefault="00DD458D" w:rsidP="00DD458D">
      <w:pPr>
        <w:pStyle w:val="NormalWeb"/>
        <w:spacing w:before="0" w:beforeAutospacing="0" w:after="120" w:afterAutospacing="0" w:line="240" w:lineRule="atLeast"/>
        <w:ind w:left="720"/>
        <w:rPr>
          <w:rFonts w:ascii="Arial" w:hAnsi="Arial" w:cs="Arial"/>
          <w:color w:val="000000"/>
          <w:sz w:val="18"/>
          <w:szCs w:val="18"/>
        </w:rPr>
      </w:pPr>
    </w:p>
    <w:p w:rsidR="00DD458D" w:rsidRDefault="00DD458D" w:rsidP="00870AAC">
      <w:pPr>
        <w:pStyle w:val="NormalWeb"/>
        <w:numPr>
          <w:ilvl w:val="0"/>
          <w:numId w:val="5"/>
        </w:numPr>
        <w:spacing w:before="0" w:beforeAutospacing="0" w:after="120" w:afterAutospacing="0" w:line="240" w:lineRule="atLeast"/>
        <w:rPr>
          <w:rFonts w:ascii="Arial" w:hAnsi="Arial" w:cs="Arial"/>
          <w:color w:val="000000"/>
          <w:sz w:val="18"/>
          <w:szCs w:val="18"/>
        </w:rPr>
      </w:pPr>
      <w:r>
        <w:rPr>
          <w:rFonts w:ascii="Arial" w:hAnsi="Arial" w:cs="Arial"/>
          <w:color w:val="000000"/>
          <w:sz w:val="18"/>
          <w:szCs w:val="18"/>
        </w:rPr>
        <w:t>Browse the folder containing the GSD file:</w:t>
      </w:r>
    </w:p>
    <w:p w:rsidR="00DD458D" w:rsidRDefault="00DD458D" w:rsidP="00DD458D">
      <w:pPr>
        <w:pStyle w:val="NormalWeb"/>
        <w:numPr>
          <w:ilvl w:val="1"/>
          <w:numId w:val="6"/>
        </w:numPr>
        <w:spacing w:before="0" w:beforeAutospacing="0" w:after="120" w:afterAutospacing="0" w:line="240" w:lineRule="atLeast"/>
        <w:ind w:firstLine="0"/>
        <w:rPr>
          <w:rFonts w:ascii="Arial" w:hAnsi="Arial" w:cs="Arial"/>
          <w:color w:val="000000"/>
          <w:sz w:val="18"/>
          <w:szCs w:val="18"/>
        </w:rPr>
      </w:pPr>
      <w:r>
        <w:rPr>
          <w:rFonts w:ascii="Arial" w:hAnsi="Arial" w:cs="Arial"/>
          <w:color w:val="000000"/>
          <w:sz w:val="18"/>
          <w:szCs w:val="18"/>
        </w:rPr>
        <w:t>In case of using an </w:t>
      </w:r>
      <w:r>
        <w:rPr>
          <w:rStyle w:val="isvidivisionsystemsingular"/>
          <w:rFonts w:ascii="Arial" w:hAnsi="Arial" w:cs="Arial"/>
          <w:color w:val="000000"/>
          <w:sz w:val="18"/>
          <w:szCs w:val="18"/>
        </w:rPr>
        <w:t>In-Sight D900 series vision system</w:t>
      </w:r>
      <w:r>
        <w:rPr>
          <w:rFonts w:ascii="Arial" w:hAnsi="Arial" w:cs="Arial"/>
          <w:color w:val="000000"/>
          <w:sz w:val="18"/>
          <w:szCs w:val="18"/>
        </w:rPr>
        <w:t>, the GSD file is located here:</w:t>
      </w:r>
    </w:p>
    <w:p w:rsidR="00DD458D" w:rsidRDefault="00DD458D" w:rsidP="00DD458D">
      <w:pPr>
        <w:pStyle w:val="NormalWeb"/>
        <w:spacing w:before="0" w:beforeAutospacing="0" w:after="120" w:afterAutospacing="0" w:line="240" w:lineRule="atLeast"/>
        <w:ind w:left="1440"/>
        <w:rPr>
          <w:rFonts w:ascii="Arial" w:hAnsi="Arial" w:cs="Arial"/>
          <w:color w:val="000000"/>
          <w:sz w:val="18"/>
          <w:szCs w:val="18"/>
        </w:rPr>
      </w:pPr>
      <w:r>
        <w:rPr>
          <w:rStyle w:val="isvidigsdpathd900"/>
          <w:rFonts w:ascii="Arial" w:hAnsi="Arial" w:cs="Arial"/>
          <w:i/>
          <w:iCs/>
          <w:color w:val="000000"/>
          <w:sz w:val="18"/>
          <w:szCs w:val="18"/>
        </w:rPr>
        <w:t>C:\Program Files\</w:t>
      </w:r>
      <w:proofErr w:type="spellStart"/>
      <w:r>
        <w:rPr>
          <w:rStyle w:val="isvidigsdpathd900"/>
          <w:rFonts w:ascii="Arial" w:hAnsi="Arial" w:cs="Arial"/>
          <w:i/>
          <w:iCs/>
          <w:color w:val="000000"/>
          <w:sz w:val="18"/>
          <w:szCs w:val="18"/>
        </w:rPr>
        <w:t>Cognex</w:t>
      </w:r>
      <w:proofErr w:type="spellEnd"/>
      <w:r>
        <w:rPr>
          <w:rStyle w:val="isvidigsdpathd900"/>
          <w:rFonts w:ascii="Arial" w:hAnsi="Arial" w:cs="Arial"/>
          <w:i/>
          <w:iCs/>
          <w:color w:val="000000"/>
          <w:sz w:val="18"/>
          <w:szCs w:val="18"/>
        </w:rPr>
        <w:t xml:space="preserve">\In-Sight\In-Sight Vision Suite Adapters\In-Sight </w:t>
      </w:r>
      <w:proofErr w:type="spellStart"/>
      <w:r>
        <w:rPr>
          <w:rStyle w:val="isvidigsdpathd900"/>
          <w:rFonts w:ascii="Arial" w:hAnsi="Arial" w:cs="Arial"/>
          <w:i/>
          <w:iCs/>
          <w:color w:val="000000"/>
          <w:sz w:val="18"/>
          <w:szCs w:val="18"/>
        </w:rPr>
        <w:t>ViDi</w:t>
      </w:r>
      <w:proofErr w:type="spellEnd"/>
      <w:r>
        <w:rPr>
          <w:rStyle w:val="isvidigsdpathd900"/>
          <w:rFonts w:ascii="Arial" w:hAnsi="Arial" w:cs="Arial"/>
          <w:i/>
          <w:iCs/>
          <w:color w:val="000000"/>
          <w:sz w:val="18"/>
          <w:szCs w:val="18"/>
        </w:rPr>
        <w:t xml:space="preserve"> 1.3.0\FFP\In-Sight D9xx\GSD</w:t>
      </w:r>
    </w:p>
    <w:p w:rsidR="00DD458D" w:rsidRDefault="00DD458D" w:rsidP="00DD458D">
      <w:pPr>
        <w:pStyle w:val="NormalWeb"/>
        <w:numPr>
          <w:ilvl w:val="1"/>
          <w:numId w:val="7"/>
        </w:numPr>
        <w:spacing w:before="0" w:beforeAutospacing="0" w:after="120" w:afterAutospacing="0" w:line="240" w:lineRule="atLeast"/>
        <w:ind w:firstLine="0"/>
        <w:rPr>
          <w:rFonts w:ascii="Arial" w:hAnsi="Arial" w:cs="Arial"/>
          <w:color w:val="000000"/>
          <w:sz w:val="18"/>
          <w:szCs w:val="18"/>
        </w:rPr>
      </w:pPr>
      <w:r>
        <w:rPr>
          <w:rFonts w:ascii="Arial" w:hAnsi="Arial" w:cs="Arial"/>
          <w:color w:val="000000"/>
          <w:sz w:val="18"/>
          <w:szCs w:val="18"/>
        </w:rPr>
        <w:t>In case of using an </w:t>
      </w:r>
      <w:r>
        <w:rPr>
          <w:rStyle w:val="vidividisetideisvidi"/>
          <w:rFonts w:ascii="Arial" w:hAnsi="Arial" w:cs="Arial"/>
          <w:color w:val="000000"/>
          <w:sz w:val="18"/>
          <w:szCs w:val="18"/>
        </w:rPr>
        <w:t xml:space="preserve">In-Sight </w:t>
      </w:r>
      <w:proofErr w:type="spellStart"/>
      <w:r>
        <w:rPr>
          <w:rStyle w:val="vidividisetideisvidi"/>
          <w:rFonts w:ascii="Arial" w:hAnsi="Arial" w:cs="Arial"/>
          <w:color w:val="000000"/>
          <w:sz w:val="18"/>
          <w:szCs w:val="18"/>
        </w:rPr>
        <w:t>ViDi</w:t>
      </w:r>
      <w:proofErr w:type="spellEnd"/>
      <w:r>
        <w:rPr>
          <w:rFonts w:ascii="Arial" w:hAnsi="Arial" w:cs="Arial"/>
          <w:color w:val="000000"/>
          <w:sz w:val="18"/>
          <w:szCs w:val="18"/>
        </w:rPr>
        <w:t> PC device, the GSD file is located here:</w:t>
      </w:r>
    </w:p>
    <w:p w:rsidR="00DD458D" w:rsidRDefault="00DD458D" w:rsidP="00DD458D">
      <w:pPr>
        <w:pStyle w:val="NormalWeb"/>
        <w:spacing w:before="0" w:beforeAutospacing="0" w:after="120" w:afterAutospacing="0" w:line="240" w:lineRule="atLeast"/>
        <w:ind w:left="1440"/>
        <w:rPr>
          <w:rStyle w:val="isvidigsdpathisvidipc"/>
          <w:rFonts w:ascii="Arial" w:hAnsi="Arial" w:cs="Arial"/>
          <w:i/>
          <w:iCs/>
          <w:color w:val="000000"/>
          <w:sz w:val="18"/>
          <w:szCs w:val="18"/>
        </w:rPr>
      </w:pPr>
      <w:r>
        <w:rPr>
          <w:rStyle w:val="isvidigsdpathisvidipc"/>
          <w:rFonts w:ascii="Arial" w:hAnsi="Arial" w:cs="Arial"/>
          <w:i/>
          <w:iCs/>
          <w:color w:val="000000"/>
          <w:sz w:val="18"/>
          <w:szCs w:val="18"/>
        </w:rPr>
        <w:t>C:\Program Files\</w:t>
      </w:r>
      <w:proofErr w:type="spellStart"/>
      <w:r>
        <w:rPr>
          <w:rStyle w:val="isvidigsdpathisvidipc"/>
          <w:rFonts w:ascii="Arial" w:hAnsi="Arial" w:cs="Arial"/>
          <w:i/>
          <w:iCs/>
          <w:color w:val="000000"/>
          <w:sz w:val="18"/>
          <w:szCs w:val="18"/>
        </w:rPr>
        <w:t>Cognex</w:t>
      </w:r>
      <w:proofErr w:type="spellEnd"/>
      <w:r>
        <w:rPr>
          <w:rStyle w:val="isvidigsdpathisvidipc"/>
          <w:rFonts w:ascii="Arial" w:hAnsi="Arial" w:cs="Arial"/>
          <w:i/>
          <w:iCs/>
          <w:color w:val="000000"/>
          <w:sz w:val="18"/>
          <w:szCs w:val="18"/>
        </w:rPr>
        <w:t xml:space="preserve">\In-Sight\In-Sight Vision Suite Adapters\In-Sight </w:t>
      </w:r>
      <w:proofErr w:type="spellStart"/>
      <w:r>
        <w:rPr>
          <w:rStyle w:val="isvidigsdpathisvidipc"/>
          <w:rFonts w:ascii="Arial" w:hAnsi="Arial" w:cs="Arial"/>
          <w:i/>
          <w:iCs/>
          <w:color w:val="000000"/>
          <w:sz w:val="18"/>
          <w:szCs w:val="18"/>
        </w:rPr>
        <w:t>ViDi</w:t>
      </w:r>
      <w:proofErr w:type="spellEnd"/>
      <w:r>
        <w:rPr>
          <w:rStyle w:val="isvidigsdpathisvidipc"/>
          <w:rFonts w:ascii="Arial" w:hAnsi="Arial" w:cs="Arial"/>
          <w:i/>
          <w:iCs/>
          <w:color w:val="000000"/>
          <w:sz w:val="18"/>
          <w:szCs w:val="18"/>
        </w:rPr>
        <w:t xml:space="preserve"> 1.3.0\FFP\In-Sight </w:t>
      </w:r>
      <w:proofErr w:type="spellStart"/>
      <w:r>
        <w:rPr>
          <w:rStyle w:val="isvidigsdpathisvidipc"/>
          <w:rFonts w:ascii="Arial" w:hAnsi="Arial" w:cs="Arial"/>
          <w:i/>
          <w:iCs/>
          <w:color w:val="000000"/>
          <w:sz w:val="18"/>
          <w:szCs w:val="18"/>
        </w:rPr>
        <w:t>ViDi</w:t>
      </w:r>
      <w:proofErr w:type="spellEnd"/>
      <w:r>
        <w:rPr>
          <w:rStyle w:val="isvidigsdpathisvidipc"/>
          <w:rFonts w:ascii="Arial" w:hAnsi="Arial" w:cs="Arial"/>
          <w:i/>
          <w:iCs/>
          <w:color w:val="000000"/>
          <w:sz w:val="18"/>
          <w:szCs w:val="18"/>
        </w:rPr>
        <w:t xml:space="preserve"> PC\GSD</w:t>
      </w:r>
    </w:p>
    <w:p w:rsidR="00DD458D" w:rsidRDefault="00DD458D" w:rsidP="00DD458D">
      <w:pPr>
        <w:pStyle w:val="NormalWeb"/>
        <w:spacing w:before="0" w:beforeAutospacing="0" w:after="120" w:afterAutospacing="0" w:line="240" w:lineRule="atLeast"/>
        <w:ind w:left="720" w:hanging="720"/>
        <w:rPr>
          <w:rFonts w:ascii="Arial" w:hAnsi="Arial" w:cs="Arial"/>
          <w:color w:val="000000"/>
          <w:sz w:val="18"/>
          <w:szCs w:val="18"/>
        </w:rPr>
      </w:pPr>
    </w:p>
    <w:p w:rsidR="00DD458D" w:rsidRDefault="00DD458D" w:rsidP="00DD458D">
      <w:pPr>
        <w:pStyle w:val="NormalWeb"/>
        <w:spacing w:before="0" w:beforeAutospacing="0" w:after="120" w:afterAutospacing="0" w:line="240" w:lineRule="atLeast"/>
        <w:ind w:left="720"/>
        <w:rPr>
          <w:rFonts w:ascii="Arial" w:hAnsi="Arial" w:cs="Arial"/>
          <w:color w:val="000000"/>
          <w:sz w:val="18"/>
          <w:szCs w:val="18"/>
        </w:rPr>
      </w:pPr>
      <w:r>
        <w:rPr>
          <w:rFonts w:ascii="Arial" w:hAnsi="Arial" w:cs="Arial"/>
          <w:noProof/>
          <w:color w:val="000000"/>
          <w:sz w:val="18"/>
          <w:szCs w:val="18"/>
        </w:rPr>
        <w:drawing>
          <wp:inline distT="0" distB="0" distL="0" distR="0">
            <wp:extent cx="5071618" cy="2908300"/>
            <wp:effectExtent l="0" t="0" r="0" b="6350"/>
            <wp:docPr id="4" name="Picture 4" descr="https://support.cognex.com/docs/isvidi_130/web/EN/Help_ISViDi/Content/Images/PROFINET_Siemens_S7_Config_TIAPORTAL/ImportGSD_Brow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upport.cognex.com/docs/isvidi_130/web/EN/Help_ISViDi/Content/Images/PROFINET_Siemens_S7_Config_TIAPORTAL/ImportGSD_Browse.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08935" cy="2929699"/>
                    </a:xfrm>
                    <a:prstGeom prst="rect">
                      <a:avLst/>
                    </a:prstGeom>
                    <a:noFill/>
                    <a:ln>
                      <a:noFill/>
                    </a:ln>
                  </pic:spPr>
                </pic:pic>
              </a:graphicData>
            </a:graphic>
          </wp:inline>
        </w:drawing>
      </w:r>
    </w:p>
    <w:p w:rsidR="00DD458D" w:rsidRDefault="00DD458D" w:rsidP="00DD458D">
      <w:pPr>
        <w:pStyle w:val="NormalWeb"/>
        <w:spacing w:before="0" w:beforeAutospacing="0" w:after="120" w:afterAutospacing="0" w:line="240" w:lineRule="atLeast"/>
        <w:ind w:left="720"/>
        <w:rPr>
          <w:rFonts w:ascii="Arial" w:hAnsi="Arial" w:cs="Arial"/>
          <w:color w:val="000000"/>
          <w:sz w:val="18"/>
          <w:szCs w:val="18"/>
        </w:rPr>
      </w:pPr>
    </w:p>
    <w:p w:rsidR="00DD458D" w:rsidRDefault="00DD458D" w:rsidP="00870AAC">
      <w:pPr>
        <w:pStyle w:val="NormalWeb"/>
        <w:numPr>
          <w:ilvl w:val="0"/>
          <w:numId w:val="8"/>
        </w:numPr>
        <w:spacing w:before="0" w:beforeAutospacing="0" w:after="120" w:afterAutospacing="0" w:line="240" w:lineRule="atLeast"/>
        <w:rPr>
          <w:rFonts w:ascii="Arial" w:hAnsi="Arial" w:cs="Arial"/>
          <w:color w:val="000000"/>
          <w:sz w:val="18"/>
          <w:szCs w:val="18"/>
        </w:rPr>
      </w:pPr>
      <w:r>
        <w:rPr>
          <w:rFonts w:ascii="Arial" w:hAnsi="Arial" w:cs="Arial"/>
          <w:color w:val="000000"/>
          <w:sz w:val="18"/>
          <w:szCs w:val="18"/>
        </w:rPr>
        <w:t>Tick the box in front of the GSDML file, then click on </w:t>
      </w:r>
      <w:r>
        <w:rPr>
          <w:rFonts w:ascii="Arial" w:hAnsi="Arial" w:cs="Arial"/>
          <w:b/>
          <w:bCs/>
          <w:color w:val="000000"/>
          <w:sz w:val="18"/>
          <w:szCs w:val="18"/>
        </w:rPr>
        <w:t>Install</w:t>
      </w:r>
      <w:r>
        <w:rPr>
          <w:rFonts w:ascii="Arial" w:hAnsi="Arial" w:cs="Arial"/>
          <w:color w:val="000000"/>
          <w:sz w:val="18"/>
          <w:szCs w:val="18"/>
        </w:rPr>
        <w:t>.</w:t>
      </w:r>
    </w:p>
    <w:p w:rsidR="00DD458D" w:rsidRDefault="00DD458D" w:rsidP="00DD458D">
      <w:pPr>
        <w:pStyle w:val="NormalWeb"/>
        <w:spacing w:before="0" w:beforeAutospacing="0" w:after="120" w:afterAutospacing="0" w:line="240" w:lineRule="atLeast"/>
        <w:ind w:left="720"/>
        <w:rPr>
          <w:rFonts w:ascii="Arial" w:hAnsi="Arial" w:cs="Arial"/>
          <w:color w:val="000000"/>
          <w:sz w:val="18"/>
          <w:szCs w:val="18"/>
        </w:rPr>
      </w:pPr>
      <w:r>
        <w:rPr>
          <w:rFonts w:ascii="Arial" w:hAnsi="Arial" w:cs="Arial"/>
          <w:noProof/>
          <w:color w:val="000000"/>
          <w:sz w:val="18"/>
          <w:szCs w:val="18"/>
        </w:rPr>
        <w:drawing>
          <wp:inline distT="0" distB="0" distL="0" distR="0">
            <wp:extent cx="5537200" cy="3488091"/>
            <wp:effectExtent l="0" t="0" r="6350" b="0"/>
            <wp:docPr id="3" name="Picture 3" descr="https://support.cognex.com/docs/isvidi_130/web/EN/Help_ISViDi/Content/Images/PROFINET_Siemens_S7_Config_TIAPORTAL/ImportGSD_Inst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upport.cognex.com/docs/isvidi_130/web/EN/Help_ISViDi/Content/Images/PROFINET_Siemens_S7_Config_TIAPORTAL/ImportGSD_Install.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50632" cy="3496552"/>
                    </a:xfrm>
                    <a:prstGeom prst="rect">
                      <a:avLst/>
                    </a:prstGeom>
                    <a:noFill/>
                    <a:ln>
                      <a:noFill/>
                    </a:ln>
                  </pic:spPr>
                </pic:pic>
              </a:graphicData>
            </a:graphic>
          </wp:inline>
        </w:drawing>
      </w:r>
    </w:p>
    <w:p w:rsidR="008F002E" w:rsidRDefault="008F002E" w:rsidP="00DD458D">
      <w:pPr>
        <w:pStyle w:val="NormalWeb"/>
        <w:spacing w:before="0" w:beforeAutospacing="0" w:after="120" w:afterAutospacing="0" w:line="240" w:lineRule="atLeast"/>
        <w:ind w:left="720"/>
        <w:rPr>
          <w:rFonts w:ascii="Arial" w:hAnsi="Arial" w:cs="Arial"/>
          <w:color w:val="000000"/>
          <w:sz w:val="18"/>
          <w:szCs w:val="18"/>
        </w:rPr>
      </w:pPr>
    </w:p>
    <w:p w:rsidR="00870AAC" w:rsidRDefault="00870AAC">
      <w:pPr>
        <w:rPr>
          <w:rFonts w:ascii="Arial" w:eastAsia="Times New Roman" w:hAnsi="Arial" w:cs="Arial"/>
          <w:color w:val="363636"/>
          <w:kern w:val="36"/>
          <w:sz w:val="28"/>
          <w:szCs w:val="28"/>
        </w:rPr>
      </w:pPr>
      <w:r>
        <w:rPr>
          <w:rFonts w:ascii="Arial" w:eastAsia="Times New Roman" w:hAnsi="Arial" w:cs="Arial"/>
          <w:color w:val="363636"/>
          <w:kern w:val="36"/>
          <w:sz w:val="28"/>
          <w:szCs w:val="28"/>
        </w:rPr>
        <w:br w:type="page"/>
      </w:r>
    </w:p>
    <w:p w:rsidR="00DD458D" w:rsidRPr="00DD458D" w:rsidRDefault="00DD458D" w:rsidP="008F002E">
      <w:pPr>
        <w:rPr>
          <w:rFonts w:ascii="Arial" w:eastAsia="Times New Roman" w:hAnsi="Arial" w:cs="Arial"/>
          <w:color w:val="363636"/>
          <w:kern w:val="36"/>
          <w:sz w:val="28"/>
          <w:szCs w:val="28"/>
        </w:rPr>
      </w:pPr>
      <w:bookmarkStart w:id="0" w:name="_GoBack"/>
      <w:bookmarkEnd w:id="0"/>
      <w:r w:rsidRPr="00DD458D">
        <w:rPr>
          <w:rFonts w:ascii="Arial" w:eastAsia="Times New Roman" w:hAnsi="Arial" w:cs="Arial"/>
          <w:color w:val="363636"/>
          <w:kern w:val="36"/>
          <w:sz w:val="28"/>
          <w:szCs w:val="28"/>
        </w:rPr>
        <w:lastRenderedPageBreak/>
        <w:t>Adding the In-Sight Vision System to the Hardware Configuration</w:t>
      </w:r>
    </w:p>
    <w:p w:rsidR="00DD458D" w:rsidRPr="00DD458D" w:rsidRDefault="00DD458D" w:rsidP="00DD458D">
      <w:pPr>
        <w:spacing w:after="120" w:line="240" w:lineRule="atLeast"/>
        <w:rPr>
          <w:rFonts w:ascii="Arial" w:eastAsia="Times New Roman" w:hAnsi="Arial" w:cs="Arial"/>
          <w:color w:val="000000"/>
          <w:sz w:val="18"/>
          <w:szCs w:val="18"/>
        </w:rPr>
      </w:pPr>
      <w:r w:rsidRPr="00DD458D">
        <w:rPr>
          <w:rFonts w:ascii="Arial" w:eastAsia="Times New Roman" w:hAnsi="Arial" w:cs="Arial"/>
          <w:color w:val="000000"/>
          <w:sz w:val="18"/>
          <w:szCs w:val="18"/>
        </w:rPr>
        <w:t>Double-click on </w:t>
      </w:r>
      <w:r w:rsidRPr="00DD458D">
        <w:rPr>
          <w:rFonts w:ascii="Arial" w:eastAsia="Times New Roman" w:hAnsi="Arial" w:cs="Arial"/>
          <w:b/>
          <w:bCs/>
          <w:color w:val="000000"/>
          <w:sz w:val="18"/>
          <w:szCs w:val="18"/>
        </w:rPr>
        <w:t>Devices &amp; networks</w:t>
      </w:r>
      <w:r w:rsidRPr="00DD458D">
        <w:rPr>
          <w:rFonts w:ascii="Arial" w:eastAsia="Times New Roman" w:hAnsi="Arial" w:cs="Arial"/>
          <w:color w:val="000000"/>
          <w:sz w:val="18"/>
          <w:szCs w:val="18"/>
        </w:rPr>
        <w:t> on the left pane of TIA Portal, and select the </w:t>
      </w:r>
      <w:r w:rsidRPr="00DD458D">
        <w:rPr>
          <w:rFonts w:ascii="Arial" w:eastAsia="Times New Roman" w:hAnsi="Arial" w:cs="Arial"/>
          <w:b/>
          <w:bCs/>
          <w:color w:val="000000"/>
          <w:sz w:val="18"/>
          <w:szCs w:val="18"/>
        </w:rPr>
        <w:t>Network</w:t>
      </w:r>
      <w:r w:rsidRPr="00DD458D">
        <w:rPr>
          <w:rFonts w:ascii="Arial" w:eastAsia="Times New Roman" w:hAnsi="Arial" w:cs="Arial"/>
          <w:color w:val="000000"/>
          <w:sz w:val="18"/>
          <w:szCs w:val="18"/>
        </w:rPr>
        <w:t> view tab on the top of the screen. If you have performed the procedure of the </w:t>
      </w:r>
      <w:hyperlink r:id="rId17" w:history="1">
        <w:r w:rsidRPr="00DD458D">
          <w:rPr>
            <w:rFonts w:ascii="inherit" w:eastAsia="Times New Roman" w:hAnsi="inherit" w:cs="Arial"/>
            <w:color w:val="004B7D"/>
            <w:sz w:val="18"/>
            <w:szCs w:val="18"/>
          </w:rPr>
          <w:t>Importing the GSD File into the Catalog</w:t>
        </w:r>
      </w:hyperlink>
      <w:r w:rsidRPr="00DD458D">
        <w:rPr>
          <w:rFonts w:ascii="Arial" w:eastAsia="Times New Roman" w:hAnsi="Arial" w:cs="Arial"/>
          <w:color w:val="000000"/>
          <w:sz w:val="18"/>
          <w:szCs w:val="18"/>
        </w:rPr>
        <w:t> topic, then the In-Sight vision system should appear in the </w:t>
      </w:r>
      <w:r w:rsidRPr="00DD458D">
        <w:rPr>
          <w:rFonts w:ascii="Arial" w:eastAsia="Times New Roman" w:hAnsi="Arial" w:cs="Arial"/>
          <w:i/>
          <w:iCs/>
          <w:color w:val="000000"/>
          <w:sz w:val="18"/>
          <w:szCs w:val="18"/>
        </w:rPr>
        <w:t>Catalog</w:t>
      </w:r>
      <w:r w:rsidRPr="00DD458D">
        <w:rPr>
          <w:rFonts w:ascii="Arial" w:eastAsia="Times New Roman" w:hAnsi="Arial" w:cs="Arial"/>
          <w:color w:val="000000"/>
          <w:sz w:val="18"/>
          <w:szCs w:val="18"/>
        </w:rPr>
        <w:t> on the right side of the window in the following location:</w:t>
      </w:r>
    </w:p>
    <w:p w:rsidR="00DD458D" w:rsidRPr="00DD458D" w:rsidRDefault="00DD458D" w:rsidP="00DD458D">
      <w:pPr>
        <w:spacing w:after="120" w:line="240" w:lineRule="atLeast"/>
        <w:rPr>
          <w:rFonts w:ascii="Arial" w:eastAsia="Times New Roman" w:hAnsi="Arial" w:cs="Arial"/>
          <w:color w:val="000000"/>
          <w:sz w:val="18"/>
          <w:szCs w:val="18"/>
        </w:rPr>
      </w:pPr>
      <w:r w:rsidRPr="00DD458D">
        <w:rPr>
          <w:rFonts w:ascii="Arial" w:eastAsia="Times New Roman" w:hAnsi="Arial" w:cs="Arial"/>
          <w:i/>
          <w:iCs/>
          <w:color w:val="000000"/>
          <w:sz w:val="18"/>
          <w:szCs w:val="18"/>
        </w:rPr>
        <w:t xml:space="preserve">Other field devices =&gt; PROFINET IO =&gt; Controllers =&gt; </w:t>
      </w:r>
      <w:proofErr w:type="spellStart"/>
      <w:r w:rsidRPr="00DD458D">
        <w:rPr>
          <w:rFonts w:ascii="Arial" w:eastAsia="Times New Roman" w:hAnsi="Arial" w:cs="Arial"/>
          <w:i/>
          <w:iCs/>
          <w:color w:val="000000"/>
          <w:sz w:val="18"/>
          <w:szCs w:val="18"/>
        </w:rPr>
        <w:t>Cognex</w:t>
      </w:r>
      <w:proofErr w:type="spellEnd"/>
      <w:r w:rsidRPr="00DD458D">
        <w:rPr>
          <w:rFonts w:ascii="Arial" w:eastAsia="Times New Roman" w:hAnsi="Arial" w:cs="Arial"/>
          <w:i/>
          <w:iCs/>
          <w:color w:val="000000"/>
          <w:sz w:val="18"/>
          <w:szCs w:val="18"/>
        </w:rPr>
        <w:t xml:space="preserve"> Corp. =&gt; </w:t>
      </w:r>
      <w:proofErr w:type="spellStart"/>
      <w:r w:rsidRPr="00DD458D">
        <w:rPr>
          <w:rFonts w:ascii="Arial" w:eastAsia="Times New Roman" w:hAnsi="Arial" w:cs="Arial"/>
          <w:i/>
          <w:iCs/>
          <w:color w:val="000000"/>
          <w:sz w:val="18"/>
          <w:szCs w:val="18"/>
        </w:rPr>
        <w:t>Cognex</w:t>
      </w:r>
      <w:proofErr w:type="spellEnd"/>
      <w:r w:rsidRPr="00DD458D">
        <w:rPr>
          <w:rFonts w:ascii="Arial" w:eastAsia="Times New Roman" w:hAnsi="Arial" w:cs="Arial"/>
          <w:i/>
          <w:iCs/>
          <w:color w:val="000000"/>
          <w:sz w:val="18"/>
          <w:szCs w:val="18"/>
        </w:rPr>
        <w:t xml:space="preserve"> Vision Controllers =&gt; In-Sight Vision System</w:t>
      </w:r>
    </w:p>
    <w:p w:rsidR="00DD458D" w:rsidRPr="00DD458D" w:rsidRDefault="00DD458D" w:rsidP="00DD458D">
      <w:pPr>
        <w:spacing w:after="120" w:line="240" w:lineRule="atLeast"/>
        <w:rPr>
          <w:rFonts w:ascii="Arial" w:eastAsia="Times New Roman" w:hAnsi="Arial" w:cs="Arial"/>
          <w:color w:val="000000"/>
          <w:sz w:val="18"/>
          <w:szCs w:val="18"/>
        </w:rPr>
      </w:pPr>
      <w:r w:rsidRPr="00DD458D">
        <w:rPr>
          <w:rFonts w:ascii="Arial" w:eastAsia="Times New Roman" w:hAnsi="Arial" w:cs="Arial"/>
          <w:color w:val="000000"/>
          <w:sz w:val="18"/>
          <w:szCs w:val="18"/>
        </w:rPr>
        <w:t>Once the vision system is found in the above location, perform the following steps to add it to the </w:t>
      </w:r>
      <w:r w:rsidRPr="00DD458D">
        <w:rPr>
          <w:rFonts w:ascii="Arial" w:eastAsia="Times New Roman" w:hAnsi="Arial" w:cs="Arial"/>
          <w:i/>
          <w:iCs/>
          <w:color w:val="000000"/>
          <w:sz w:val="18"/>
          <w:szCs w:val="18"/>
        </w:rPr>
        <w:t xml:space="preserve">HW </w:t>
      </w:r>
      <w:proofErr w:type="spellStart"/>
      <w:r w:rsidRPr="00DD458D">
        <w:rPr>
          <w:rFonts w:ascii="Arial" w:eastAsia="Times New Roman" w:hAnsi="Arial" w:cs="Arial"/>
          <w:i/>
          <w:iCs/>
          <w:color w:val="000000"/>
          <w:sz w:val="18"/>
          <w:szCs w:val="18"/>
        </w:rPr>
        <w:t>Config</w:t>
      </w:r>
      <w:proofErr w:type="spellEnd"/>
      <w:r w:rsidRPr="00DD458D">
        <w:rPr>
          <w:rFonts w:ascii="Arial" w:eastAsia="Times New Roman" w:hAnsi="Arial" w:cs="Arial"/>
          <w:color w:val="000000"/>
          <w:sz w:val="18"/>
          <w:szCs w:val="18"/>
        </w:rPr>
        <w:t>:</w:t>
      </w:r>
    </w:p>
    <w:p w:rsidR="00DD458D" w:rsidRPr="00DD458D" w:rsidRDefault="00DD458D" w:rsidP="00DD458D">
      <w:pPr>
        <w:numPr>
          <w:ilvl w:val="0"/>
          <w:numId w:val="9"/>
        </w:numPr>
        <w:spacing w:after="120" w:line="240" w:lineRule="atLeast"/>
        <w:ind w:firstLine="0"/>
        <w:rPr>
          <w:rFonts w:ascii="Arial" w:eastAsia="Times New Roman" w:hAnsi="Arial" w:cs="Arial"/>
          <w:color w:val="000000"/>
          <w:sz w:val="18"/>
          <w:szCs w:val="18"/>
        </w:rPr>
      </w:pPr>
      <w:r w:rsidRPr="00DD458D">
        <w:rPr>
          <w:rFonts w:ascii="Arial" w:eastAsia="Times New Roman" w:hAnsi="Arial" w:cs="Arial"/>
          <w:color w:val="000000"/>
          <w:sz w:val="18"/>
          <w:szCs w:val="18"/>
        </w:rPr>
        <w:t>Drag and drop vision system next to the PLC in the </w:t>
      </w:r>
      <w:r w:rsidRPr="00DD458D">
        <w:rPr>
          <w:rFonts w:ascii="Arial" w:eastAsia="Times New Roman" w:hAnsi="Arial" w:cs="Arial"/>
          <w:i/>
          <w:iCs/>
          <w:color w:val="000000"/>
          <w:sz w:val="18"/>
          <w:szCs w:val="18"/>
        </w:rPr>
        <w:t>Network View</w:t>
      </w:r>
      <w:r w:rsidRPr="00DD458D">
        <w:rPr>
          <w:rFonts w:ascii="Arial" w:eastAsia="Times New Roman" w:hAnsi="Arial" w:cs="Arial"/>
          <w:color w:val="000000"/>
          <w:sz w:val="18"/>
          <w:szCs w:val="18"/>
        </w:rPr>
        <w:t>.</w:t>
      </w:r>
    </w:p>
    <w:p w:rsidR="00DD458D" w:rsidRPr="00DD458D" w:rsidRDefault="00DD458D" w:rsidP="00DD458D">
      <w:pPr>
        <w:spacing w:after="120" w:line="240" w:lineRule="atLeast"/>
        <w:ind w:left="720"/>
        <w:rPr>
          <w:rFonts w:ascii="Arial" w:eastAsia="Times New Roman" w:hAnsi="Arial" w:cs="Arial"/>
          <w:color w:val="000000"/>
          <w:sz w:val="18"/>
          <w:szCs w:val="18"/>
        </w:rPr>
      </w:pPr>
      <w:r w:rsidRPr="00DD458D">
        <w:rPr>
          <w:rFonts w:ascii="Arial" w:eastAsia="Times New Roman" w:hAnsi="Arial" w:cs="Arial"/>
          <w:noProof/>
          <w:color w:val="000000"/>
          <w:sz w:val="18"/>
          <w:szCs w:val="18"/>
        </w:rPr>
        <w:drawing>
          <wp:inline distT="0" distB="0" distL="0" distR="0">
            <wp:extent cx="5451700" cy="3054350"/>
            <wp:effectExtent l="0" t="0" r="0" b="0"/>
            <wp:docPr id="8" name="Picture 8" descr="https://support.cognex.com/docs/isvidi_130/web/EN/Help_ISViDi/Content/Images/PROFINET_Siemens_S7_Config_TIAPORTAL/AddVC200_HW_Network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upport.cognex.com/docs/isvidi_130/web/EN/Help_ISViDi/Content/Images/PROFINET_Siemens_S7_Config_TIAPORTAL/AddVC200_HW_NetworkView.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73265" cy="3066432"/>
                    </a:xfrm>
                    <a:prstGeom prst="rect">
                      <a:avLst/>
                    </a:prstGeom>
                    <a:noFill/>
                    <a:ln>
                      <a:noFill/>
                    </a:ln>
                  </pic:spPr>
                </pic:pic>
              </a:graphicData>
            </a:graphic>
          </wp:inline>
        </w:drawing>
      </w:r>
    </w:p>
    <w:p w:rsidR="00DD458D" w:rsidRPr="00DD458D" w:rsidRDefault="00DD458D" w:rsidP="00DD458D">
      <w:pPr>
        <w:numPr>
          <w:ilvl w:val="0"/>
          <w:numId w:val="10"/>
        </w:numPr>
        <w:spacing w:after="120" w:line="240" w:lineRule="atLeast"/>
        <w:ind w:firstLine="0"/>
        <w:rPr>
          <w:rFonts w:ascii="Arial" w:eastAsia="Times New Roman" w:hAnsi="Arial" w:cs="Arial"/>
          <w:color w:val="000000"/>
          <w:sz w:val="18"/>
          <w:szCs w:val="18"/>
        </w:rPr>
      </w:pPr>
      <w:r w:rsidRPr="00DD458D">
        <w:rPr>
          <w:rFonts w:ascii="Arial" w:eastAsia="Times New Roman" w:hAnsi="Arial" w:cs="Arial"/>
          <w:color w:val="000000"/>
          <w:sz w:val="18"/>
          <w:szCs w:val="18"/>
        </w:rPr>
        <w:t>Establish a connection between the PLC and the vision system by connecting the small green boxes in the PLC and vision system symbols while holding down the left mouse button.</w:t>
      </w:r>
    </w:p>
    <w:p w:rsidR="00DD458D" w:rsidRDefault="00DD458D" w:rsidP="00DD458D">
      <w:pPr>
        <w:spacing w:after="120" w:line="240" w:lineRule="atLeast"/>
        <w:ind w:left="720"/>
        <w:rPr>
          <w:rFonts w:ascii="Arial" w:eastAsia="Times New Roman" w:hAnsi="Arial" w:cs="Arial"/>
          <w:color w:val="000000"/>
          <w:sz w:val="18"/>
          <w:szCs w:val="18"/>
        </w:rPr>
      </w:pPr>
      <w:r w:rsidRPr="00DD458D">
        <w:rPr>
          <w:rFonts w:ascii="Arial" w:eastAsia="Times New Roman" w:hAnsi="Arial" w:cs="Arial"/>
          <w:noProof/>
          <w:color w:val="000000"/>
          <w:sz w:val="18"/>
          <w:szCs w:val="18"/>
        </w:rPr>
        <w:drawing>
          <wp:inline distT="0" distB="0" distL="0" distR="0">
            <wp:extent cx="5441950" cy="1860978"/>
            <wp:effectExtent l="0" t="0" r="6350" b="6350"/>
            <wp:docPr id="7" name="Picture 7" descr="https://support.cognex.com/docs/isvidi_130/web/EN/Help_ISViDi/Content/Images/PROFINET_Siemens_S7_Config_TIAPORTAL/AddVC200_HW_EstablishConne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upport.cognex.com/docs/isvidi_130/web/EN/Help_ISViDi/Content/Images/PROFINET_Siemens_S7_Config_TIAPORTAL/AddVC200_HW_EstablishConnection.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13382" cy="1885406"/>
                    </a:xfrm>
                    <a:prstGeom prst="rect">
                      <a:avLst/>
                    </a:prstGeom>
                    <a:noFill/>
                    <a:ln>
                      <a:noFill/>
                    </a:ln>
                  </pic:spPr>
                </pic:pic>
              </a:graphicData>
            </a:graphic>
          </wp:inline>
        </w:drawing>
      </w:r>
    </w:p>
    <w:p w:rsidR="00F9283E" w:rsidRPr="00DD458D" w:rsidRDefault="00F9283E" w:rsidP="00DD458D">
      <w:pPr>
        <w:spacing w:after="120" w:line="240" w:lineRule="atLeast"/>
        <w:ind w:left="720"/>
        <w:rPr>
          <w:rFonts w:ascii="Arial" w:eastAsia="Times New Roman" w:hAnsi="Arial" w:cs="Arial"/>
          <w:color w:val="000000"/>
          <w:sz w:val="18"/>
          <w:szCs w:val="18"/>
        </w:rPr>
      </w:pPr>
    </w:p>
    <w:p w:rsidR="00DD458D" w:rsidRPr="00DD458D" w:rsidRDefault="00DD458D" w:rsidP="00DD458D">
      <w:pPr>
        <w:numPr>
          <w:ilvl w:val="0"/>
          <w:numId w:val="11"/>
        </w:numPr>
        <w:spacing w:after="120" w:line="240" w:lineRule="atLeast"/>
        <w:ind w:firstLine="0"/>
        <w:rPr>
          <w:rFonts w:ascii="Arial" w:eastAsia="Times New Roman" w:hAnsi="Arial" w:cs="Arial"/>
          <w:color w:val="000000"/>
          <w:sz w:val="18"/>
          <w:szCs w:val="18"/>
        </w:rPr>
      </w:pPr>
      <w:r w:rsidRPr="00DD458D">
        <w:rPr>
          <w:rFonts w:ascii="Arial" w:eastAsia="Times New Roman" w:hAnsi="Arial" w:cs="Arial"/>
          <w:color w:val="000000"/>
          <w:sz w:val="18"/>
          <w:szCs w:val="18"/>
        </w:rPr>
        <w:t>Click on the vision system symbol, then select </w:t>
      </w:r>
      <w:r w:rsidRPr="00DD458D">
        <w:rPr>
          <w:rFonts w:ascii="Arial" w:eastAsia="Times New Roman" w:hAnsi="Arial" w:cs="Arial"/>
          <w:b/>
          <w:bCs/>
          <w:color w:val="000000"/>
          <w:sz w:val="18"/>
          <w:szCs w:val="18"/>
        </w:rPr>
        <w:t>General</w:t>
      </w:r>
      <w:r w:rsidRPr="00DD458D">
        <w:rPr>
          <w:rFonts w:ascii="Arial" w:eastAsia="Times New Roman" w:hAnsi="Arial" w:cs="Arial"/>
          <w:color w:val="000000"/>
          <w:sz w:val="18"/>
          <w:szCs w:val="18"/>
        </w:rPr>
        <w:t> on the bottom and click on </w:t>
      </w:r>
      <w:r w:rsidRPr="00DD458D">
        <w:rPr>
          <w:rFonts w:ascii="Arial" w:eastAsia="Times New Roman" w:hAnsi="Arial" w:cs="Arial"/>
          <w:b/>
          <w:bCs/>
          <w:color w:val="000000"/>
          <w:sz w:val="18"/>
          <w:szCs w:val="18"/>
        </w:rPr>
        <w:t>PROFINET interface [X1]</w:t>
      </w:r>
      <w:r w:rsidRPr="00DD458D">
        <w:rPr>
          <w:rFonts w:ascii="Arial" w:eastAsia="Times New Roman" w:hAnsi="Arial" w:cs="Arial"/>
          <w:color w:val="000000"/>
          <w:sz w:val="18"/>
          <w:szCs w:val="18"/>
        </w:rPr>
        <w:t>. Tick </w:t>
      </w:r>
      <w:r w:rsidRPr="00DD458D">
        <w:rPr>
          <w:rFonts w:ascii="Arial" w:eastAsia="Times New Roman" w:hAnsi="Arial" w:cs="Arial"/>
          <w:b/>
          <w:bCs/>
          <w:color w:val="000000"/>
          <w:sz w:val="18"/>
          <w:szCs w:val="18"/>
        </w:rPr>
        <w:t>IP address is set directly at the device</w:t>
      </w:r>
      <w:r w:rsidRPr="00DD458D">
        <w:rPr>
          <w:rFonts w:ascii="Arial" w:eastAsia="Times New Roman" w:hAnsi="Arial" w:cs="Arial"/>
          <w:color w:val="000000"/>
          <w:sz w:val="18"/>
          <w:szCs w:val="18"/>
        </w:rPr>
        <w:t> option and uncheck the box in front of </w:t>
      </w:r>
      <w:r w:rsidRPr="00DD458D">
        <w:rPr>
          <w:rFonts w:ascii="Arial" w:eastAsia="Times New Roman" w:hAnsi="Arial" w:cs="Arial"/>
          <w:b/>
          <w:bCs/>
          <w:color w:val="000000"/>
          <w:sz w:val="18"/>
          <w:szCs w:val="18"/>
        </w:rPr>
        <w:t>Generate PROFINET device name automatically</w:t>
      </w:r>
      <w:r w:rsidRPr="00DD458D">
        <w:rPr>
          <w:rFonts w:ascii="Arial" w:eastAsia="Times New Roman" w:hAnsi="Arial" w:cs="Arial"/>
          <w:color w:val="000000"/>
          <w:sz w:val="18"/>
          <w:szCs w:val="18"/>
        </w:rPr>
        <w:t>. Type the same name for the PROFINET device name that was configured for </w:t>
      </w:r>
      <w:r w:rsidRPr="00DD458D">
        <w:rPr>
          <w:rFonts w:ascii="Arial" w:eastAsia="Times New Roman" w:hAnsi="Arial" w:cs="Arial"/>
          <w:i/>
          <w:iCs/>
          <w:color w:val="000000"/>
          <w:sz w:val="18"/>
          <w:szCs w:val="18"/>
        </w:rPr>
        <w:t>Station Name</w:t>
      </w:r>
      <w:r w:rsidRPr="00DD458D">
        <w:rPr>
          <w:rFonts w:ascii="Arial" w:eastAsia="Times New Roman" w:hAnsi="Arial" w:cs="Arial"/>
          <w:color w:val="000000"/>
          <w:sz w:val="18"/>
          <w:szCs w:val="18"/>
        </w:rPr>
        <w:t> in In-Sight Vision Suite in the </w:t>
      </w:r>
      <w:hyperlink r:id="rId20" w:history="1">
        <w:r w:rsidRPr="00DD458D">
          <w:rPr>
            <w:rFonts w:ascii="inherit" w:eastAsia="Times New Roman" w:hAnsi="inherit" w:cs="Arial"/>
            <w:color w:val="004B7D"/>
            <w:sz w:val="18"/>
            <w:szCs w:val="18"/>
          </w:rPr>
          <w:t>Setting up the In-Sight Vision System</w:t>
        </w:r>
      </w:hyperlink>
      <w:r w:rsidRPr="00DD458D">
        <w:rPr>
          <w:rFonts w:ascii="Arial" w:eastAsia="Times New Roman" w:hAnsi="Arial" w:cs="Arial"/>
          <w:color w:val="000000"/>
          <w:sz w:val="18"/>
          <w:szCs w:val="18"/>
        </w:rPr>
        <w:t> topic.</w:t>
      </w:r>
    </w:p>
    <w:p w:rsidR="00DD458D" w:rsidRPr="00DD458D" w:rsidRDefault="00DD458D" w:rsidP="00DD458D">
      <w:pPr>
        <w:shd w:val="clear" w:color="auto" w:fill="E5E5E5"/>
        <w:spacing w:after="0" w:line="220" w:lineRule="atLeast"/>
        <w:ind w:left="720"/>
        <w:rPr>
          <w:rFonts w:ascii="Arial" w:eastAsia="Times New Roman" w:hAnsi="Arial" w:cs="Arial"/>
          <w:color w:val="000000"/>
          <w:sz w:val="18"/>
          <w:szCs w:val="18"/>
        </w:rPr>
      </w:pPr>
      <w:r w:rsidRPr="00DD458D">
        <w:rPr>
          <w:rFonts w:ascii="Arial" w:eastAsia="Times New Roman" w:hAnsi="Arial" w:cs="Arial"/>
          <w:b/>
          <w:bCs/>
          <w:color w:val="000000"/>
          <w:sz w:val="18"/>
          <w:szCs w:val="18"/>
        </w:rPr>
        <w:lastRenderedPageBreak/>
        <w:t>Note</w:t>
      </w:r>
      <w:r w:rsidRPr="00DD458D">
        <w:rPr>
          <w:rFonts w:ascii="Arial" w:eastAsia="Times New Roman" w:hAnsi="Arial" w:cs="Arial"/>
          <w:color w:val="000000"/>
          <w:sz w:val="18"/>
          <w:szCs w:val="18"/>
        </w:rPr>
        <w:t>:</w:t>
      </w:r>
    </w:p>
    <w:p w:rsidR="00DD458D" w:rsidRPr="00DD458D" w:rsidRDefault="00DD458D" w:rsidP="00DD458D">
      <w:pPr>
        <w:shd w:val="clear" w:color="auto" w:fill="E5E5E5"/>
        <w:spacing w:after="120" w:line="240" w:lineRule="atLeast"/>
        <w:ind w:left="720"/>
        <w:rPr>
          <w:rFonts w:ascii="Arial" w:eastAsia="Times New Roman" w:hAnsi="Arial" w:cs="Arial"/>
          <w:color w:val="000000"/>
          <w:sz w:val="18"/>
          <w:szCs w:val="18"/>
        </w:rPr>
      </w:pPr>
      <w:r w:rsidRPr="00DD458D">
        <w:rPr>
          <w:rFonts w:ascii="Arial" w:eastAsia="Times New Roman" w:hAnsi="Arial" w:cs="Arial"/>
          <w:color w:val="000000"/>
          <w:sz w:val="18"/>
          <w:szCs w:val="18"/>
        </w:rPr>
        <w:t>If the </w:t>
      </w:r>
      <w:r w:rsidRPr="00DD458D">
        <w:rPr>
          <w:rFonts w:ascii="Arial" w:eastAsia="Times New Roman" w:hAnsi="Arial" w:cs="Arial"/>
          <w:i/>
          <w:iCs/>
          <w:color w:val="000000"/>
          <w:sz w:val="18"/>
          <w:szCs w:val="18"/>
        </w:rPr>
        <w:t>IP address set directly at the device</w:t>
      </w:r>
      <w:r w:rsidRPr="00DD458D">
        <w:rPr>
          <w:rFonts w:ascii="Arial" w:eastAsia="Times New Roman" w:hAnsi="Arial" w:cs="Arial"/>
          <w:color w:val="000000"/>
          <w:sz w:val="18"/>
          <w:szCs w:val="18"/>
        </w:rPr>
        <w:t> option is checked (as shown below), the system keeps the IP address of the vision system. If it is unchecked, its IP address is changed to a value provided by the CPU.</w:t>
      </w:r>
    </w:p>
    <w:p w:rsidR="00DD458D" w:rsidRPr="00DD458D" w:rsidRDefault="00DD458D" w:rsidP="00DD458D">
      <w:pPr>
        <w:shd w:val="clear" w:color="auto" w:fill="E5E5E5"/>
        <w:spacing w:after="120" w:line="240" w:lineRule="atLeast"/>
        <w:ind w:left="720"/>
        <w:rPr>
          <w:rFonts w:ascii="Arial" w:eastAsia="Times New Roman" w:hAnsi="Arial" w:cs="Arial"/>
          <w:color w:val="000000"/>
          <w:sz w:val="18"/>
          <w:szCs w:val="18"/>
        </w:rPr>
      </w:pPr>
      <w:r w:rsidRPr="00DD458D">
        <w:rPr>
          <w:rFonts w:ascii="Arial" w:eastAsia="Times New Roman" w:hAnsi="Arial" w:cs="Arial"/>
          <w:noProof/>
          <w:color w:val="000000"/>
          <w:sz w:val="18"/>
          <w:szCs w:val="18"/>
        </w:rPr>
        <w:drawing>
          <wp:inline distT="0" distB="0" distL="0" distR="0">
            <wp:extent cx="5643055" cy="4838700"/>
            <wp:effectExtent l="0" t="0" r="0" b="0"/>
            <wp:docPr id="6" name="Picture 6" descr="https://support.cognex.com/docs/isvidi_130/web/EN/Help_ISViDi/Content/Images/PROFINET_Siemens_S7_Config_TIAPORTAL/AddVC200_HW_SetIPDirect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upport.cognex.com/docs/isvidi_130/web/EN/Help_ISViDi/Content/Images/PROFINET_Siemens_S7_Config_TIAPORTAL/AddVC200_HW_SetIPDirectly.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71945" cy="4863472"/>
                    </a:xfrm>
                    <a:prstGeom prst="rect">
                      <a:avLst/>
                    </a:prstGeom>
                    <a:noFill/>
                    <a:ln>
                      <a:noFill/>
                    </a:ln>
                  </pic:spPr>
                </pic:pic>
              </a:graphicData>
            </a:graphic>
          </wp:inline>
        </w:drawing>
      </w:r>
    </w:p>
    <w:p w:rsidR="00DD458D" w:rsidRDefault="00DD458D"/>
    <w:p w:rsidR="00DD458D" w:rsidRPr="00DD458D" w:rsidRDefault="00DD458D" w:rsidP="00DD458D">
      <w:pPr>
        <w:pStyle w:val="Heading1"/>
        <w:shd w:val="clear" w:color="auto" w:fill="FFFFFF"/>
        <w:spacing w:before="75" w:beforeAutospacing="0" w:after="225" w:afterAutospacing="0" w:line="432" w:lineRule="atLeast"/>
        <w:rPr>
          <w:rFonts w:ascii="Arial" w:hAnsi="Arial" w:cs="Arial"/>
          <w:b w:val="0"/>
          <w:bCs w:val="0"/>
          <w:color w:val="363636"/>
          <w:sz w:val="28"/>
          <w:szCs w:val="28"/>
        </w:rPr>
      </w:pPr>
      <w:r w:rsidRPr="00DD458D">
        <w:rPr>
          <w:rFonts w:ascii="Arial" w:hAnsi="Arial" w:cs="Arial"/>
          <w:b w:val="0"/>
          <w:bCs w:val="0"/>
          <w:color w:val="363636"/>
          <w:sz w:val="28"/>
          <w:szCs w:val="28"/>
        </w:rPr>
        <w:t>Downloading the Configuration into the PLC</w:t>
      </w:r>
    </w:p>
    <w:p w:rsidR="00DD458D" w:rsidRDefault="00DD458D" w:rsidP="00DD458D">
      <w:pPr>
        <w:pStyle w:val="NormalWeb"/>
        <w:spacing w:before="0" w:beforeAutospacing="0" w:after="120" w:afterAutospacing="0" w:line="240" w:lineRule="atLeast"/>
        <w:rPr>
          <w:rFonts w:ascii="Arial" w:hAnsi="Arial" w:cs="Arial"/>
          <w:color w:val="000000"/>
          <w:sz w:val="18"/>
          <w:szCs w:val="18"/>
        </w:rPr>
      </w:pPr>
      <w:r>
        <w:rPr>
          <w:rFonts w:ascii="Arial" w:hAnsi="Arial" w:cs="Arial"/>
          <w:color w:val="000000"/>
          <w:sz w:val="18"/>
          <w:szCs w:val="18"/>
        </w:rPr>
        <w:t>Once the </w:t>
      </w:r>
      <w:r>
        <w:rPr>
          <w:rStyle w:val="globalglobaldevicelowercase"/>
          <w:rFonts w:ascii="Arial" w:hAnsi="Arial" w:cs="Arial"/>
          <w:color w:val="000000"/>
          <w:sz w:val="18"/>
          <w:szCs w:val="18"/>
        </w:rPr>
        <w:t>vision system</w:t>
      </w:r>
      <w:r>
        <w:rPr>
          <w:rFonts w:ascii="Arial" w:hAnsi="Arial" w:cs="Arial"/>
          <w:color w:val="000000"/>
          <w:sz w:val="18"/>
          <w:szCs w:val="18"/>
        </w:rPr>
        <w:t> has been added to the hardware configuration, download it to the PLC:</w:t>
      </w:r>
    </w:p>
    <w:p w:rsidR="00DD458D" w:rsidRDefault="00DD458D" w:rsidP="00DD458D">
      <w:pPr>
        <w:pStyle w:val="NormalWeb"/>
        <w:numPr>
          <w:ilvl w:val="0"/>
          <w:numId w:val="12"/>
        </w:numPr>
        <w:spacing w:before="0" w:beforeAutospacing="0" w:after="120" w:afterAutospacing="0" w:line="240" w:lineRule="atLeast"/>
        <w:ind w:firstLine="0"/>
        <w:rPr>
          <w:rFonts w:ascii="Arial" w:hAnsi="Arial" w:cs="Arial"/>
          <w:color w:val="000000"/>
          <w:sz w:val="18"/>
          <w:szCs w:val="18"/>
        </w:rPr>
      </w:pPr>
      <w:r>
        <w:rPr>
          <w:rFonts w:ascii="Arial" w:hAnsi="Arial" w:cs="Arial"/>
          <w:color w:val="000000"/>
          <w:sz w:val="18"/>
          <w:szCs w:val="18"/>
        </w:rPr>
        <w:t>Save the project, click on the PLC CPU symbol, and then on the </w:t>
      </w:r>
      <w:r>
        <w:rPr>
          <w:rFonts w:ascii="Arial" w:hAnsi="Arial" w:cs="Arial"/>
          <w:b/>
          <w:bCs/>
          <w:color w:val="000000"/>
          <w:sz w:val="18"/>
          <w:szCs w:val="18"/>
        </w:rPr>
        <w:t>Online</w:t>
      </w:r>
      <w:r>
        <w:rPr>
          <w:rFonts w:ascii="Arial" w:hAnsi="Arial" w:cs="Arial"/>
          <w:color w:val="000000"/>
          <w:sz w:val="18"/>
          <w:szCs w:val="18"/>
        </w:rPr>
        <w:t>. Select </w:t>
      </w:r>
      <w:r>
        <w:rPr>
          <w:rFonts w:ascii="Arial" w:hAnsi="Arial" w:cs="Arial"/>
          <w:b/>
          <w:bCs/>
          <w:color w:val="000000"/>
          <w:sz w:val="18"/>
          <w:szCs w:val="18"/>
        </w:rPr>
        <w:t>Download to device</w:t>
      </w:r>
      <w:r>
        <w:rPr>
          <w:rFonts w:ascii="Arial" w:hAnsi="Arial" w:cs="Arial"/>
          <w:color w:val="000000"/>
          <w:sz w:val="18"/>
          <w:szCs w:val="18"/>
        </w:rPr>
        <w:t> to start the download procedure.</w:t>
      </w:r>
    </w:p>
    <w:p w:rsidR="00DD458D" w:rsidRDefault="00DD458D" w:rsidP="00DD458D">
      <w:pPr>
        <w:pStyle w:val="NormalWeb"/>
        <w:spacing w:before="0" w:beforeAutospacing="0" w:after="120" w:afterAutospacing="0" w:line="240" w:lineRule="atLeast"/>
        <w:ind w:left="720"/>
        <w:rPr>
          <w:rFonts w:ascii="Arial" w:hAnsi="Arial" w:cs="Arial"/>
          <w:color w:val="000000"/>
          <w:sz w:val="18"/>
          <w:szCs w:val="18"/>
        </w:rPr>
      </w:pPr>
      <w:r>
        <w:rPr>
          <w:rFonts w:ascii="Arial" w:hAnsi="Arial" w:cs="Arial"/>
          <w:noProof/>
          <w:color w:val="000000"/>
          <w:sz w:val="18"/>
          <w:szCs w:val="18"/>
        </w:rPr>
        <w:lastRenderedPageBreak/>
        <w:drawing>
          <wp:inline distT="0" distB="0" distL="0" distR="0">
            <wp:extent cx="5448300" cy="2470599"/>
            <wp:effectExtent l="0" t="0" r="0" b="6350"/>
            <wp:docPr id="13" name="Picture 13" descr="https://support.cognex.com/docs/isvidi_130/web/EN/Help_ISViDi/Content/Images/PROFINET_Siemens_S7_Config_TIAPORTAL/DownloadConfigPLC_DownloadToDev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upport.cognex.com/docs/isvidi_130/web/EN/Help_ISViDi/Content/Images/PROFINET_Siemens_S7_Config_TIAPORTAL/DownloadConfigPLC_DownloadToDevice.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1958" cy="2485862"/>
                    </a:xfrm>
                    <a:prstGeom prst="rect">
                      <a:avLst/>
                    </a:prstGeom>
                    <a:noFill/>
                    <a:ln>
                      <a:noFill/>
                    </a:ln>
                  </pic:spPr>
                </pic:pic>
              </a:graphicData>
            </a:graphic>
          </wp:inline>
        </w:drawing>
      </w:r>
    </w:p>
    <w:p w:rsidR="00F9283E" w:rsidRDefault="00F9283E" w:rsidP="00DD458D">
      <w:pPr>
        <w:pStyle w:val="NormalWeb"/>
        <w:spacing w:before="0" w:beforeAutospacing="0" w:after="120" w:afterAutospacing="0" w:line="240" w:lineRule="atLeast"/>
        <w:ind w:left="720"/>
        <w:rPr>
          <w:rFonts w:ascii="Arial" w:hAnsi="Arial" w:cs="Arial"/>
          <w:color w:val="000000"/>
          <w:sz w:val="18"/>
          <w:szCs w:val="18"/>
        </w:rPr>
      </w:pPr>
    </w:p>
    <w:p w:rsidR="00DD458D" w:rsidRDefault="00DD458D" w:rsidP="00DD458D">
      <w:pPr>
        <w:pStyle w:val="NormalWeb"/>
        <w:numPr>
          <w:ilvl w:val="0"/>
          <w:numId w:val="13"/>
        </w:numPr>
        <w:spacing w:before="0" w:beforeAutospacing="0" w:after="120" w:afterAutospacing="0" w:line="240" w:lineRule="atLeast"/>
        <w:ind w:firstLine="0"/>
        <w:rPr>
          <w:rFonts w:ascii="Arial" w:hAnsi="Arial" w:cs="Arial"/>
          <w:color w:val="000000"/>
          <w:sz w:val="18"/>
          <w:szCs w:val="18"/>
        </w:rPr>
      </w:pPr>
      <w:r>
        <w:rPr>
          <w:rFonts w:ascii="Arial" w:hAnsi="Arial" w:cs="Arial"/>
          <w:color w:val="000000"/>
          <w:sz w:val="18"/>
          <w:szCs w:val="18"/>
        </w:rPr>
        <w:t>If the download is performed for the first time, then the </w:t>
      </w:r>
      <w:proofErr w:type="gramStart"/>
      <w:r>
        <w:rPr>
          <w:rFonts w:ascii="Arial" w:hAnsi="Arial" w:cs="Arial"/>
          <w:i/>
          <w:iCs/>
          <w:color w:val="000000"/>
          <w:sz w:val="18"/>
          <w:szCs w:val="18"/>
        </w:rPr>
        <w:t>Extended</w:t>
      </w:r>
      <w:proofErr w:type="gramEnd"/>
      <w:r>
        <w:rPr>
          <w:rFonts w:ascii="Arial" w:hAnsi="Arial" w:cs="Arial"/>
          <w:i/>
          <w:iCs/>
          <w:color w:val="000000"/>
          <w:sz w:val="18"/>
          <w:szCs w:val="18"/>
        </w:rPr>
        <w:t xml:space="preserve"> download to device</w:t>
      </w:r>
      <w:r>
        <w:rPr>
          <w:rFonts w:ascii="Arial" w:hAnsi="Arial" w:cs="Arial"/>
          <w:color w:val="000000"/>
          <w:sz w:val="18"/>
          <w:szCs w:val="18"/>
        </w:rPr>
        <w:t> window comes up. Select the PG/PC interface there. After that, click on the </w:t>
      </w:r>
      <w:r>
        <w:rPr>
          <w:rFonts w:ascii="Arial" w:hAnsi="Arial" w:cs="Arial"/>
          <w:b/>
          <w:bCs/>
          <w:color w:val="000000"/>
          <w:sz w:val="18"/>
          <w:szCs w:val="18"/>
        </w:rPr>
        <w:t>Start search</w:t>
      </w:r>
      <w:r>
        <w:rPr>
          <w:rFonts w:ascii="Arial" w:hAnsi="Arial" w:cs="Arial"/>
          <w:color w:val="000000"/>
          <w:sz w:val="18"/>
          <w:szCs w:val="18"/>
        </w:rPr>
        <w:t> button to show the available devices. Select the PLC from the list and click on the </w:t>
      </w:r>
      <w:r>
        <w:rPr>
          <w:rFonts w:ascii="Arial" w:hAnsi="Arial" w:cs="Arial"/>
          <w:b/>
          <w:bCs/>
          <w:color w:val="000000"/>
          <w:sz w:val="18"/>
          <w:szCs w:val="18"/>
        </w:rPr>
        <w:t>Load</w:t>
      </w:r>
      <w:r>
        <w:rPr>
          <w:rFonts w:ascii="Arial" w:hAnsi="Arial" w:cs="Arial"/>
          <w:color w:val="000000"/>
          <w:sz w:val="18"/>
          <w:szCs w:val="18"/>
        </w:rPr>
        <w:t> button.</w:t>
      </w:r>
    </w:p>
    <w:p w:rsidR="00F9283E" w:rsidRDefault="00F9283E" w:rsidP="00F9283E">
      <w:pPr>
        <w:pStyle w:val="NormalWeb"/>
        <w:spacing w:before="0" w:beforeAutospacing="0" w:after="120" w:afterAutospacing="0" w:line="240" w:lineRule="atLeast"/>
        <w:ind w:left="720"/>
        <w:rPr>
          <w:rFonts w:ascii="Arial" w:hAnsi="Arial" w:cs="Arial"/>
          <w:color w:val="000000"/>
          <w:sz w:val="18"/>
          <w:szCs w:val="18"/>
        </w:rPr>
      </w:pPr>
    </w:p>
    <w:p w:rsidR="00DD458D" w:rsidRDefault="00DD458D" w:rsidP="00DD458D">
      <w:pPr>
        <w:pStyle w:val="NormalWeb"/>
        <w:spacing w:before="0" w:beforeAutospacing="0" w:after="120" w:afterAutospacing="0" w:line="240" w:lineRule="atLeast"/>
        <w:ind w:left="720"/>
        <w:rPr>
          <w:rFonts w:ascii="Arial" w:hAnsi="Arial" w:cs="Arial"/>
          <w:color w:val="000000"/>
          <w:sz w:val="18"/>
          <w:szCs w:val="18"/>
        </w:rPr>
      </w:pPr>
      <w:r>
        <w:rPr>
          <w:rFonts w:ascii="Arial" w:hAnsi="Arial" w:cs="Arial"/>
          <w:noProof/>
          <w:color w:val="000000"/>
          <w:sz w:val="18"/>
          <w:szCs w:val="18"/>
        </w:rPr>
        <w:drawing>
          <wp:inline distT="0" distB="0" distL="0" distR="0">
            <wp:extent cx="4832350" cy="4081458"/>
            <wp:effectExtent l="0" t="0" r="6350" b="0"/>
            <wp:docPr id="12" name="Picture 12" descr="https://support.cognex.com/docs/isvidi_130/web/EN/Help_ISViDi/Content/Images/PROFINET_Siemens_S7_Config_TIAPORTAL/DownloadConfigPLC_Extended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support.cognex.com/docs/isvidi_130/web/EN/Help_ISViDi/Content/Images/PROFINET_Siemens_S7_Config_TIAPORTAL/DownloadConfigPLC_ExtendedDownload.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48130" cy="4094786"/>
                    </a:xfrm>
                    <a:prstGeom prst="rect">
                      <a:avLst/>
                    </a:prstGeom>
                    <a:noFill/>
                    <a:ln>
                      <a:noFill/>
                    </a:ln>
                  </pic:spPr>
                </pic:pic>
              </a:graphicData>
            </a:graphic>
          </wp:inline>
        </w:drawing>
      </w:r>
    </w:p>
    <w:p w:rsidR="00F9283E" w:rsidRDefault="00F9283E" w:rsidP="00DD458D">
      <w:pPr>
        <w:pStyle w:val="NormalWeb"/>
        <w:spacing w:before="0" w:beforeAutospacing="0" w:after="120" w:afterAutospacing="0" w:line="240" w:lineRule="atLeast"/>
        <w:ind w:left="720"/>
        <w:rPr>
          <w:rFonts w:ascii="Arial" w:hAnsi="Arial" w:cs="Arial"/>
          <w:color w:val="000000"/>
          <w:sz w:val="18"/>
          <w:szCs w:val="18"/>
        </w:rPr>
      </w:pPr>
    </w:p>
    <w:p w:rsidR="00DD458D" w:rsidRDefault="00DD458D" w:rsidP="00DD458D">
      <w:pPr>
        <w:pStyle w:val="NormalWeb"/>
        <w:numPr>
          <w:ilvl w:val="0"/>
          <w:numId w:val="14"/>
        </w:numPr>
        <w:spacing w:before="0" w:beforeAutospacing="0" w:after="120" w:afterAutospacing="0" w:line="240" w:lineRule="atLeast"/>
        <w:ind w:firstLine="0"/>
        <w:rPr>
          <w:rFonts w:ascii="Arial" w:hAnsi="Arial" w:cs="Arial"/>
          <w:color w:val="000000"/>
          <w:sz w:val="18"/>
          <w:szCs w:val="18"/>
        </w:rPr>
      </w:pPr>
      <w:r>
        <w:rPr>
          <w:rFonts w:ascii="Arial" w:hAnsi="Arial" w:cs="Arial"/>
          <w:color w:val="000000"/>
          <w:sz w:val="18"/>
          <w:szCs w:val="18"/>
        </w:rPr>
        <w:lastRenderedPageBreak/>
        <w:t>The program compiles the configuration. Once it is done, click on </w:t>
      </w:r>
      <w:r>
        <w:rPr>
          <w:rFonts w:ascii="Arial" w:hAnsi="Arial" w:cs="Arial"/>
          <w:b/>
          <w:bCs/>
          <w:color w:val="000000"/>
          <w:sz w:val="18"/>
          <w:szCs w:val="18"/>
        </w:rPr>
        <w:t>Load</w:t>
      </w:r>
      <w:r>
        <w:rPr>
          <w:rFonts w:ascii="Arial" w:hAnsi="Arial" w:cs="Arial"/>
          <w:color w:val="000000"/>
          <w:sz w:val="18"/>
          <w:szCs w:val="18"/>
        </w:rPr>
        <w:t> and then on the </w:t>
      </w:r>
      <w:r>
        <w:rPr>
          <w:rFonts w:ascii="Arial" w:hAnsi="Arial" w:cs="Arial"/>
          <w:b/>
          <w:bCs/>
          <w:color w:val="000000"/>
          <w:sz w:val="18"/>
          <w:szCs w:val="18"/>
        </w:rPr>
        <w:t>Finish</w:t>
      </w:r>
      <w:r>
        <w:rPr>
          <w:rFonts w:ascii="Arial" w:hAnsi="Arial" w:cs="Arial"/>
          <w:color w:val="000000"/>
          <w:sz w:val="18"/>
          <w:szCs w:val="18"/>
        </w:rPr>
        <w:t> button on the pop-up windows.</w:t>
      </w:r>
    </w:p>
    <w:p w:rsidR="00F9283E" w:rsidRDefault="00F9283E" w:rsidP="00F9283E">
      <w:pPr>
        <w:pStyle w:val="NormalWeb"/>
        <w:spacing w:before="0" w:beforeAutospacing="0" w:after="120" w:afterAutospacing="0" w:line="240" w:lineRule="atLeast"/>
        <w:ind w:left="720"/>
        <w:rPr>
          <w:rFonts w:ascii="Arial" w:hAnsi="Arial" w:cs="Arial"/>
          <w:color w:val="000000"/>
          <w:sz w:val="18"/>
          <w:szCs w:val="18"/>
        </w:rPr>
      </w:pPr>
    </w:p>
    <w:p w:rsidR="00DD458D" w:rsidRDefault="00DD458D" w:rsidP="00DD458D">
      <w:pPr>
        <w:pStyle w:val="NormalWeb"/>
        <w:numPr>
          <w:ilvl w:val="0"/>
          <w:numId w:val="15"/>
        </w:numPr>
        <w:spacing w:before="0" w:beforeAutospacing="0" w:after="120" w:afterAutospacing="0" w:line="240" w:lineRule="atLeast"/>
        <w:ind w:firstLine="0"/>
        <w:rPr>
          <w:rFonts w:ascii="Arial" w:hAnsi="Arial" w:cs="Arial"/>
          <w:color w:val="000000"/>
          <w:sz w:val="18"/>
          <w:szCs w:val="18"/>
        </w:rPr>
      </w:pPr>
      <w:r>
        <w:rPr>
          <w:rFonts w:ascii="Arial" w:hAnsi="Arial" w:cs="Arial"/>
          <w:color w:val="000000"/>
          <w:sz w:val="18"/>
          <w:szCs w:val="18"/>
        </w:rPr>
        <w:t>After the download is finished, click on the </w:t>
      </w:r>
      <w:r>
        <w:rPr>
          <w:rFonts w:ascii="Arial" w:hAnsi="Arial" w:cs="Arial"/>
          <w:b/>
          <w:bCs/>
          <w:color w:val="000000"/>
          <w:sz w:val="18"/>
          <w:szCs w:val="18"/>
        </w:rPr>
        <w:t>Go online</w:t>
      </w:r>
      <w:r>
        <w:rPr>
          <w:rFonts w:ascii="Arial" w:hAnsi="Arial" w:cs="Arial"/>
          <w:color w:val="000000"/>
          <w:sz w:val="18"/>
          <w:szCs w:val="18"/>
        </w:rPr>
        <w:t> icon on the top of the window. If the PROFINET connection is working fine between the PLC and the </w:t>
      </w:r>
      <w:r>
        <w:rPr>
          <w:rStyle w:val="globalglobaldevicelowercase"/>
          <w:rFonts w:ascii="Arial" w:hAnsi="Arial" w:cs="Arial"/>
          <w:color w:val="000000"/>
          <w:sz w:val="18"/>
          <w:szCs w:val="18"/>
        </w:rPr>
        <w:t>vision system</w:t>
      </w:r>
      <w:r>
        <w:rPr>
          <w:rFonts w:ascii="Arial" w:hAnsi="Arial" w:cs="Arial"/>
          <w:color w:val="000000"/>
          <w:sz w:val="18"/>
          <w:szCs w:val="18"/>
        </w:rPr>
        <w:t>, then a green sign should be visible in the left top corner of the devices.</w:t>
      </w:r>
    </w:p>
    <w:p w:rsidR="00F9283E" w:rsidRDefault="00F9283E" w:rsidP="00F9283E">
      <w:pPr>
        <w:pStyle w:val="NormalWeb"/>
        <w:spacing w:before="0" w:beforeAutospacing="0" w:after="120" w:afterAutospacing="0" w:line="240" w:lineRule="atLeast"/>
        <w:ind w:left="720"/>
        <w:rPr>
          <w:rFonts w:ascii="Arial" w:hAnsi="Arial" w:cs="Arial"/>
          <w:color w:val="000000"/>
          <w:sz w:val="18"/>
          <w:szCs w:val="18"/>
        </w:rPr>
      </w:pPr>
    </w:p>
    <w:p w:rsidR="00DD458D" w:rsidRDefault="00DD458D" w:rsidP="00DD458D">
      <w:pPr>
        <w:pStyle w:val="NormalWeb"/>
        <w:spacing w:before="0" w:beforeAutospacing="0" w:after="120" w:afterAutospacing="0" w:line="240" w:lineRule="atLeast"/>
        <w:ind w:left="720"/>
        <w:rPr>
          <w:rFonts w:ascii="Arial" w:hAnsi="Arial" w:cs="Arial"/>
          <w:color w:val="000000"/>
          <w:sz w:val="18"/>
          <w:szCs w:val="18"/>
        </w:rPr>
      </w:pPr>
      <w:r>
        <w:rPr>
          <w:rFonts w:ascii="Arial" w:hAnsi="Arial" w:cs="Arial"/>
          <w:noProof/>
          <w:color w:val="000000"/>
          <w:sz w:val="18"/>
          <w:szCs w:val="18"/>
        </w:rPr>
        <w:drawing>
          <wp:inline distT="0" distB="0" distL="0" distR="0">
            <wp:extent cx="5568950" cy="2223361"/>
            <wp:effectExtent l="0" t="0" r="0" b="5715"/>
            <wp:docPr id="11" name="Picture 11" descr="https://support.cognex.com/docs/isvidi_130/web/EN/Help_ISViDi/Content/Images/PROFINET_Siemens_S7_Config_TIAPORTAL/DownloadConfigPLC_GoOn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support.cognex.com/docs/isvidi_130/web/EN/Help_ISViDi/Content/Images/PROFINET_Siemens_S7_Config_TIAPORTAL/DownloadConfigPLC_GoOnline.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93276" cy="2233073"/>
                    </a:xfrm>
                    <a:prstGeom prst="rect">
                      <a:avLst/>
                    </a:prstGeom>
                    <a:noFill/>
                    <a:ln>
                      <a:noFill/>
                    </a:ln>
                  </pic:spPr>
                </pic:pic>
              </a:graphicData>
            </a:graphic>
          </wp:inline>
        </w:drawing>
      </w:r>
    </w:p>
    <w:p w:rsidR="00F9283E" w:rsidRDefault="00F9283E" w:rsidP="00DD458D">
      <w:pPr>
        <w:pStyle w:val="NormalWeb"/>
        <w:spacing w:before="0" w:beforeAutospacing="0" w:after="120" w:afterAutospacing="0" w:line="240" w:lineRule="atLeast"/>
        <w:ind w:left="720"/>
        <w:rPr>
          <w:rFonts w:ascii="Arial" w:hAnsi="Arial" w:cs="Arial"/>
          <w:color w:val="000000"/>
          <w:sz w:val="18"/>
          <w:szCs w:val="18"/>
        </w:rPr>
      </w:pPr>
    </w:p>
    <w:p w:rsidR="00DD458D" w:rsidRDefault="00DD458D" w:rsidP="00DD458D">
      <w:pPr>
        <w:pStyle w:val="NormalWeb"/>
        <w:numPr>
          <w:ilvl w:val="0"/>
          <w:numId w:val="16"/>
        </w:numPr>
        <w:spacing w:before="0" w:beforeAutospacing="0" w:after="120" w:afterAutospacing="0" w:line="240" w:lineRule="atLeast"/>
        <w:ind w:firstLine="0"/>
        <w:rPr>
          <w:rFonts w:ascii="Arial" w:hAnsi="Arial" w:cs="Arial"/>
          <w:color w:val="000000"/>
          <w:sz w:val="18"/>
          <w:szCs w:val="18"/>
        </w:rPr>
      </w:pPr>
      <w:r>
        <w:rPr>
          <w:rFonts w:ascii="Arial" w:hAnsi="Arial" w:cs="Arial"/>
          <w:color w:val="000000"/>
          <w:sz w:val="18"/>
          <w:szCs w:val="18"/>
        </w:rPr>
        <w:t>If the connection is not established properly, then right-click the </w:t>
      </w:r>
      <w:r>
        <w:rPr>
          <w:rStyle w:val="globalglobaldevicelowercase"/>
          <w:rFonts w:ascii="Arial" w:hAnsi="Arial" w:cs="Arial"/>
          <w:color w:val="000000"/>
          <w:sz w:val="18"/>
          <w:szCs w:val="18"/>
        </w:rPr>
        <w:t>vision system</w:t>
      </w:r>
      <w:r>
        <w:rPr>
          <w:rFonts w:ascii="Arial" w:hAnsi="Arial" w:cs="Arial"/>
          <w:color w:val="000000"/>
          <w:sz w:val="18"/>
          <w:szCs w:val="18"/>
        </w:rPr>
        <w:t> symbol and select </w:t>
      </w:r>
      <w:r>
        <w:rPr>
          <w:rFonts w:ascii="Arial" w:hAnsi="Arial" w:cs="Arial"/>
          <w:b/>
          <w:bCs/>
          <w:color w:val="000000"/>
          <w:sz w:val="18"/>
          <w:szCs w:val="18"/>
        </w:rPr>
        <w:t>Assign device name</w:t>
      </w:r>
      <w:r>
        <w:rPr>
          <w:rFonts w:ascii="Arial" w:hAnsi="Arial" w:cs="Arial"/>
          <w:color w:val="000000"/>
          <w:sz w:val="18"/>
          <w:szCs w:val="18"/>
        </w:rPr>
        <w:t> from the context menu.</w:t>
      </w:r>
    </w:p>
    <w:p w:rsidR="00F9283E" w:rsidRDefault="00F9283E" w:rsidP="00F9283E">
      <w:pPr>
        <w:pStyle w:val="NormalWeb"/>
        <w:spacing w:before="0" w:beforeAutospacing="0" w:after="120" w:afterAutospacing="0" w:line="240" w:lineRule="atLeast"/>
        <w:ind w:left="720"/>
        <w:rPr>
          <w:rFonts w:ascii="Arial" w:hAnsi="Arial" w:cs="Arial"/>
          <w:color w:val="000000"/>
          <w:sz w:val="18"/>
          <w:szCs w:val="18"/>
        </w:rPr>
      </w:pPr>
    </w:p>
    <w:p w:rsidR="00DD458D" w:rsidRDefault="00DD458D" w:rsidP="00DD458D">
      <w:pPr>
        <w:pStyle w:val="NormalWeb"/>
        <w:spacing w:before="0" w:beforeAutospacing="0" w:after="120" w:afterAutospacing="0" w:line="240" w:lineRule="atLeast"/>
        <w:ind w:left="720"/>
        <w:rPr>
          <w:rFonts w:ascii="Arial" w:hAnsi="Arial" w:cs="Arial"/>
          <w:color w:val="000000"/>
          <w:sz w:val="18"/>
          <w:szCs w:val="18"/>
        </w:rPr>
      </w:pPr>
      <w:r>
        <w:rPr>
          <w:rFonts w:ascii="Arial" w:hAnsi="Arial" w:cs="Arial"/>
          <w:noProof/>
          <w:color w:val="000000"/>
          <w:sz w:val="18"/>
          <w:szCs w:val="18"/>
        </w:rPr>
        <w:drawing>
          <wp:inline distT="0" distB="0" distL="0" distR="0">
            <wp:extent cx="4495800" cy="3505200"/>
            <wp:effectExtent l="0" t="0" r="0" b="0"/>
            <wp:docPr id="10" name="Picture 10" descr="https://support.cognex.com/docs/isvidi_130/web/EN/Help_ISViDi/Content/Images/PROFINET_Siemens_S7_Config_TIAPORTAL/DownloadConfigPLC_AssignDev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support.cognex.com/docs/isvidi_130/web/EN/Help_ISViDi/Content/Images/PROFINET_Siemens_S7_Config_TIAPORTAL/DownloadConfigPLC_AssignDevice.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95800" cy="3505200"/>
                    </a:xfrm>
                    <a:prstGeom prst="rect">
                      <a:avLst/>
                    </a:prstGeom>
                    <a:noFill/>
                    <a:ln>
                      <a:noFill/>
                    </a:ln>
                  </pic:spPr>
                </pic:pic>
              </a:graphicData>
            </a:graphic>
          </wp:inline>
        </w:drawing>
      </w:r>
    </w:p>
    <w:p w:rsidR="00DD458D" w:rsidRDefault="00DD458D" w:rsidP="00DD458D">
      <w:pPr>
        <w:pStyle w:val="NormalWeb"/>
        <w:numPr>
          <w:ilvl w:val="0"/>
          <w:numId w:val="17"/>
        </w:numPr>
        <w:spacing w:before="0" w:beforeAutospacing="0" w:after="120" w:afterAutospacing="0" w:line="240" w:lineRule="atLeast"/>
        <w:ind w:firstLine="0"/>
        <w:rPr>
          <w:rFonts w:ascii="Arial" w:hAnsi="Arial" w:cs="Arial"/>
          <w:color w:val="000000"/>
          <w:sz w:val="18"/>
          <w:szCs w:val="18"/>
        </w:rPr>
      </w:pPr>
      <w:r>
        <w:rPr>
          <w:rFonts w:ascii="Arial" w:hAnsi="Arial" w:cs="Arial"/>
          <w:color w:val="000000"/>
          <w:sz w:val="18"/>
          <w:szCs w:val="18"/>
        </w:rPr>
        <w:lastRenderedPageBreak/>
        <w:t>Select the </w:t>
      </w:r>
      <w:r>
        <w:rPr>
          <w:rStyle w:val="globalglobaldevicelowercase"/>
          <w:rFonts w:ascii="Arial" w:hAnsi="Arial" w:cs="Arial"/>
          <w:color w:val="000000"/>
          <w:sz w:val="18"/>
          <w:szCs w:val="18"/>
        </w:rPr>
        <w:t>vision system</w:t>
      </w:r>
      <w:r>
        <w:rPr>
          <w:rFonts w:ascii="Arial" w:hAnsi="Arial" w:cs="Arial"/>
          <w:color w:val="000000"/>
          <w:sz w:val="18"/>
          <w:szCs w:val="18"/>
        </w:rPr>
        <w:t> from the list and click the </w:t>
      </w:r>
      <w:r>
        <w:rPr>
          <w:rFonts w:ascii="Arial" w:hAnsi="Arial" w:cs="Arial"/>
          <w:b/>
          <w:bCs/>
          <w:color w:val="000000"/>
          <w:sz w:val="18"/>
          <w:szCs w:val="18"/>
        </w:rPr>
        <w:t>Assign name</w:t>
      </w:r>
      <w:r>
        <w:rPr>
          <w:rFonts w:ascii="Arial" w:hAnsi="Arial" w:cs="Arial"/>
          <w:color w:val="000000"/>
          <w:sz w:val="18"/>
          <w:szCs w:val="18"/>
        </w:rPr>
        <w:t> button.</w:t>
      </w:r>
    </w:p>
    <w:p w:rsidR="00F9283E" w:rsidRDefault="00F9283E" w:rsidP="00F9283E">
      <w:pPr>
        <w:pStyle w:val="NormalWeb"/>
        <w:spacing w:before="0" w:beforeAutospacing="0" w:after="120" w:afterAutospacing="0" w:line="240" w:lineRule="atLeast"/>
        <w:ind w:left="720"/>
        <w:rPr>
          <w:rFonts w:ascii="Arial" w:hAnsi="Arial" w:cs="Arial"/>
          <w:color w:val="000000"/>
          <w:sz w:val="18"/>
          <w:szCs w:val="18"/>
        </w:rPr>
      </w:pPr>
    </w:p>
    <w:p w:rsidR="00DD458D" w:rsidRDefault="00DD458D" w:rsidP="00DD458D">
      <w:pPr>
        <w:pStyle w:val="NormalWeb"/>
        <w:spacing w:before="0" w:beforeAutospacing="0" w:after="120" w:afterAutospacing="0" w:line="240" w:lineRule="atLeast"/>
        <w:ind w:left="720"/>
        <w:rPr>
          <w:rFonts w:ascii="Arial" w:hAnsi="Arial" w:cs="Arial"/>
          <w:color w:val="000000"/>
          <w:sz w:val="18"/>
          <w:szCs w:val="18"/>
        </w:rPr>
      </w:pPr>
      <w:r>
        <w:rPr>
          <w:rFonts w:ascii="Arial" w:hAnsi="Arial" w:cs="Arial"/>
          <w:noProof/>
          <w:color w:val="000000"/>
          <w:sz w:val="18"/>
          <w:szCs w:val="18"/>
        </w:rPr>
        <w:drawing>
          <wp:inline distT="0" distB="0" distL="0" distR="0">
            <wp:extent cx="5526093" cy="3854450"/>
            <wp:effectExtent l="0" t="0" r="0" b="0"/>
            <wp:docPr id="9" name="Picture 9" descr="https://support.cognex.com/docs/isvidi_130/web/EN/Help_ISViDi/Content/Images/PROFINET_Siemens_S7_Config_TIAPORTAL/DownloadConfigPLC_AssignName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support.cognex.com/docs/isvidi_130/web/EN/Help_ISViDi/Content/Images/PROFINET_Siemens_S7_Config_TIAPORTAL/DownloadConfigPLC_AssignName02.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26093" cy="3854450"/>
                    </a:xfrm>
                    <a:prstGeom prst="rect">
                      <a:avLst/>
                    </a:prstGeom>
                    <a:noFill/>
                    <a:ln>
                      <a:noFill/>
                    </a:ln>
                  </pic:spPr>
                </pic:pic>
              </a:graphicData>
            </a:graphic>
          </wp:inline>
        </w:drawing>
      </w:r>
    </w:p>
    <w:p w:rsidR="00F9283E" w:rsidRDefault="00F9283E" w:rsidP="00DD458D">
      <w:pPr>
        <w:pStyle w:val="NormalWeb"/>
        <w:spacing w:before="0" w:beforeAutospacing="0" w:after="120" w:afterAutospacing="0" w:line="240" w:lineRule="atLeast"/>
        <w:ind w:left="720"/>
        <w:rPr>
          <w:rFonts w:ascii="Arial" w:hAnsi="Arial" w:cs="Arial"/>
          <w:color w:val="000000"/>
          <w:sz w:val="18"/>
          <w:szCs w:val="18"/>
        </w:rPr>
      </w:pPr>
    </w:p>
    <w:p w:rsidR="00DD458D" w:rsidRDefault="00DD458D" w:rsidP="00DD458D">
      <w:pPr>
        <w:pStyle w:val="NormalWeb"/>
        <w:spacing w:before="0" w:beforeAutospacing="0" w:after="120" w:afterAutospacing="0" w:line="240" w:lineRule="atLeast"/>
        <w:ind w:left="720"/>
        <w:rPr>
          <w:rFonts w:ascii="Arial" w:hAnsi="Arial" w:cs="Arial"/>
          <w:color w:val="000000"/>
          <w:sz w:val="18"/>
          <w:szCs w:val="18"/>
        </w:rPr>
      </w:pPr>
      <w:r>
        <w:rPr>
          <w:rFonts w:ascii="Arial" w:hAnsi="Arial" w:cs="Arial"/>
          <w:color w:val="000000"/>
          <w:sz w:val="18"/>
          <w:szCs w:val="18"/>
        </w:rPr>
        <w:t>Once this step is done, the PROFINET connection is established properly.</w:t>
      </w:r>
    </w:p>
    <w:p w:rsidR="00DB2ED2" w:rsidRDefault="00DB2ED2"/>
    <w:p w:rsidR="00DD458D" w:rsidRPr="00DD458D" w:rsidRDefault="00DD458D" w:rsidP="00DD458D">
      <w:pPr>
        <w:shd w:val="clear" w:color="auto" w:fill="FFFFFF"/>
        <w:spacing w:before="75" w:after="225" w:line="432" w:lineRule="atLeast"/>
        <w:outlineLvl w:val="0"/>
        <w:rPr>
          <w:rFonts w:ascii="Arial" w:eastAsia="Times New Roman" w:hAnsi="Arial" w:cs="Arial"/>
          <w:color w:val="363636"/>
          <w:kern w:val="36"/>
          <w:sz w:val="28"/>
          <w:szCs w:val="28"/>
        </w:rPr>
      </w:pPr>
      <w:r w:rsidRPr="00DD458D">
        <w:rPr>
          <w:rFonts w:ascii="Arial" w:eastAsia="Times New Roman" w:hAnsi="Arial" w:cs="Arial"/>
          <w:color w:val="363636"/>
          <w:kern w:val="36"/>
          <w:sz w:val="28"/>
          <w:szCs w:val="28"/>
        </w:rPr>
        <w:t>Creating Monitoring Variables</w:t>
      </w:r>
    </w:p>
    <w:p w:rsidR="00DD458D" w:rsidRPr="00DD458D" w:rsidRDefault="00DD458D" w:rsidP="00DD458D">
      <w:pPr>
        <w:spacing w:after="120" w:line="240" w:lineRule="atLeast"/>
        <w:rPr>
          <w:rFonts w:ascii="Arial" w:eastAsia="Times New Roman" w:hAnsi="Arial" w:cs="Arial"/>
          <w:color w:val="000000"/>
          <w:sz w:val="18"/>
          <w:szCs w:val="18"/>
        </w:rPr>
      </w:pPr>
      <w:r w:rsidRPr="00DD458D">
        <w:rPr>
          <w:rFonts w:ascii="Arial" w:eastAsia="Times New Roman" w:hAnsi="Arial" w:cs="Arial"/>
          <w:color w:val="000000"/>
          <w:sz w:val="18"/>
          <w:szCs w:val="18"/>
        </w:rPr>
        <w:t>Once PROFINET communication has been set up properly, create the monitoring variables. To prepare for the procedure, first open the applicable PROFINET IO Module Reference Table (see </w:t>
      </w:r>
      <w:hyperlink r:id="rId27" w:history="1">
        <w:r w:rsidRPr="00DD458D">
          <w:rPr>
            <w:rFonts w:ascii="inherit" w:eastAsia="Times New Roman" w:hAnsi="inherit" w:cs="Arial"/>
            <w:color w:val="004B7D"/>
            <w:sz w:val="18"/>
            <w:szCs w:val="18"/>
          </w:rPr>
          <w:t>this topic</w:t>
        </w:r>
      </w:hyperlink>
      <w:r w:rsidRPr="00DD458D">
        <w:rPr>
          <w:rFonts w:ascii="Arial" w:eastAsia="Times New Roman" w:hAnsi="Arial" w:cs="Arial"/>
          <w:color w:val="000000"/>
          <w:sz w:val="18"/>
          <w:szCs w:val="18"/>
        </w:rPr>
        <w:t> for In-Sight D900 series vision systems, and </w:t>
      </w:r>
      <w:hyperlink r:id="rId28" w:history="1">
        <w:r w:rsidRPr="00DD458D">
          <w:rPr>
            <w:rFonts w:ascii="inherit" w:eastAsia="Times New Roman" w:hAnsi="inherit" w:cs="Arial"/>
            <w:color w:val="004B7D"/>
            <w:sz w:val="18"/>
            <w:szCs w:val="18"/>
          </w:rPr>
          <w:t>this topic</w:t>
        </w:r>
      </w:hyperlink>
      <w:r w:rsidRPr="00DD458D">
        <w:rPr>
          <w:rFonts w:ascii="Arial" w:eastAsia="Times New Roman" w:hAnsi="Arial" w:cs="Arial"/>
          <w:color w:val="000000"/>
          <w:sz w:val="18"/>
          <w:szCs w:val="18"/>
        </w:rPr>
        <w:t xml:space="preserve"> for In-Sight </w:t>
      </w:r>
      <w:proofErr w:type="spellStart"/>
      <w:r w:rsidRPr="00DD458D">
        <w:rPr>
          <w:rFonts w:ascii="Arial" w:eastAsia="Times New Roman" w:hAnsi="Arial" w:cs="Arial"/>
          <w:color w:val="000000"/>
          <w:sz w:val="18"/>
          <w:szCs w:val="18"/>
        </w:rPr>
        <w:t>ViDi</w:t>
      </w:r>
      <w:proofErr w:type="spellEnd"/>
      <w:r w:rsidRPr="00DD458D">
        <w:rPr>
          <w:rFonts w:ascii="Arial" w:eastAsia="Times New Roman" w:hAnsi="Arial" w:cs="Arial"/>
          <w:color w:val="000000"/>
          <w:sz w:val="18"/>
          <w:szCs w:val="18"/>
        </w:rPr>
        <w:t> PC devices). This reference table is used to check which signals are needed for the configured application. The necessary signals can be added to the symbols in </w:t>
      </w:r>
      <w:r w:rsidRPr="00DD458D">
        <w:rPr>
          <w:rFonts w:ascii="Arial" w:eastAsia="Times New Roman" w:hAnsi="Arial" w:cs="Arial"/>
          <w:i/>
          <w:iCs/>
          <w:color w:val="000000"/>
          <w:sz w:val="18"/>
          <w:szCs w:val="18"/>
        </w:rPr>
        <w:t>TIA Portal</w:t>
      </w:r>
      <w:r w:rsidRPr="00DD458D">
        <w:rPr>
          <w:rFonts w:ascii="Arial" w:eastAsia="Times New Roman" w:hAnsi="Arial" w:cs="Arial"/>
          <w:color w:val="000000"/>
          <w:sz w:val="18"/>
          <w:szCs w:val="18"/>
        </w:rPr>
        <w:t>, and can be named to monitor them easily.</w:t>
      </w:r>
    </w:p>
    <w:p w:rsidR="00DD458D" w:rsidRPr="00DD458D" w:rsidRDefault="00DD458D" w:rsidP="00DD458D">
      <w:pPr>
        <w:spacing w:after="120" w:line="240" w:lineRule="atLeast"/>
        <w:rPr>
          <w:rFonts w:ascii="Arial" w:eastAsia="Times New Roman" w:hAnsi="Arial" w:cs="Arial"/>
          <w:color w:val="000000"/>
          <w:sz w:val="18"/>
          <w:szCs w:val="18"/>
        </w:rPr>
      </w:pPr>
      <w:r w:rsidRPr="00DD458D">
        <w:rPr>
          <w:rFonts w:ascii="Arial" w:eastAsia="Times New Roman" w:hAnsi="Arial" w:cs="Arial"/>
          <w:color w:val="000000"/>
          <w:sz w:val="18"/>
          <w:szCs w:val="18"/>
        </w:rPr>
        <w:t>Perform the following steps to create the monitoring variables:</w:t>
      </w:r>
    </w:p>
    <w:p w:rsidR="00DD458D" w:rsidRPr="00DD458D" w:rsidRDefault="00DD458D" w:rsidP="00DD458D">
      <w:pPr>
        <w:numPr>
          <w:ilvl w:val="0"/>
          <w:numId w:val="18"/>
        </w:numPr>
        <w:spacing w:after="120" w:line="240" w:lineRule="atLeast"/>
        <w:ind w:firstLine="0"/>
        <w:rPr>
          <w:rFonts w:ascii="Arial" w:eastAsia="Times New Roman" w:hAnsi="Arial" w:cs="Arial"/>
          <w:color w:val="000000"/>
          <w:sz w:val="18"/>
          <w:szCs w:val="18"/>
        </w:rPr>
      </w:pPr>
      <w:r w:rsidRPr="00DD458D">
        <w:rPr>
          <w:rFonts w:ascii="Arial" w:eastAsia="Times New Roman" w:hAnsi="Arial" w:cs="Arial"/>
          <w:color w:val="000000"/>
          <w:sz w:val="18"/>
          <w:szCs w:val="18"/>
        </w:rPr>
        <w:t>On the </w:t>
      </w:r>
      <w:r w:rsidRPr="00DD458D">
        <w:rPr>
          <w:rFonts w:ascii="Arial" w:eastAsia="Times New Roman" w:hAnsi="Arial" w:cs="Arial"/>
          <w:i/>
          <w:iCs/>
          <w:color w:val="000000"/>
          <w:sz w:val="18"/>
          <w:szCs w:val="18"/>
        </w:rPr>
        <w:t>Project tree</w:t>
      </w:r>
      <w:r w:rsidRPr="00DD458D">
        <w:rPr>
          <w:rFonts w:ascii="Arial" w:eastAsia="Times New Roman" w:hAnsi="Arial" w:cs="Arial"/>
          <w:color w:val="000000"/>
          <w:sz w:val="18"/>
          <w:szCs w:val="18"/>
        </w:rPr>
        <w:t> pane, go to the following location:</w:t>
      </w:r>
    </w:p>
    <w:p w:rsidR="00DD458D" w:rsidRPr="00DD458D" w:rsidRDefault="00DD458D" w:rsidP="00DD458D">
      <w:pPr>
        <w:spacing w:after="120" w:line="240" w:lineRule="atLeast"/>
        <w:ind w:left="720"/>
        <w:rPr>
          <w:rFonts w:ascii="Arial" w:eastAsia="Times New Roman" w:hAnsi="Arial" w:cs="Arial"/>
          <w:color w:val="000000"/>
          <w:sz w:val="18"/>
          <w:szCs w:val="18"/>
        </w:rPr>
      </w:pPr>
      <w:r w:rsidRPr="00DD458D">
        <w:rPr>
          <w:rFonts w:ascii="Arial" w:eastAsia="Times New Roman" w:hAnsi="Arial" w:cs="Arial"/>
          <w:i/>
          <w:iCs/>
          <w:color w:val="000000"/>
          <w:sz w:val="18"/>
          <w:szCs w:val="18"/>
        </w:rPr>
        <w:t>Vision System =&gt; PLC_1 [CPU 1211C DC/DC/DC] =&gt; PLC tags</w:t>
      </w:r>
    </w:p>
    <w:p w:rsidR="00DD458D" w:rsidRPr="00DD458D" w:rsidRDefault="00DD458D" w:rsidP="00DD458D">
      <w:pPr>
        <w:numPr>
          <w:ilvl w:val="0"/>
          <w:numId w:val="19"/>
        </w:numPr>
        <w:spacing w:after="120" w:line="240" w:lineRule="atLeast"/>
        <w:ind w:firstLine="0"/>
        <w:rPr>
          <w:rFonts w:ascii="Arial" w:eastAsia="Times New Roman" w:hAnsi="Arial" w:cs="Arial"/>
          <w:color w:val="000000"/>
          <w:sz w:val="18"/>
          <w:szCs w:val="18"/>
        </w:rPr>
      </w:pPr>
      <w:r w:rsidRPr="00DD458D">
        <w:rPr>
          <w:rFonts w:ascii="Arial" w:eastAsia="Times New Roman" w:hAnsi="Arial" w:cs="Arial"/>
          <w:color w:val="000000"/>
          <w:sz w:val="18"/>
          <w:szCs w:val="18"/>
        </w:rPr>
        <w:t>Double-click on </w:t>
      </w:r>
      <w:r w:rsidRPr="00DD458D">
        <w:rPr>
          <w:rFonts w:ascii="Arial" w:eastAsia="Times New Roman" w:hAnsi="Arial" w:cs="Arial"/>
          <w:b/>
          <w:bCs/>
          <w:color w:val="000000"/>
          <w:sz w:val="18"/>
          <w:szCs w:val="18"/>
        </w:rPr>
        <w:t>Add new tag table</w:t>
      </w:r>
      <w:r w:rsidRPr="00DD458D">
        <w:rPr>
          <w:rFonts w:ascii="Arial" w:eastAsia="Times New Roman" w:hAnsi="Arial" w:cs="Arial"/>
          <w:color w:val="000000"/>
          <w:sz w:val="18"/>
          <w:szCs w:val="18"/>
        </w:rPr>
        <w:t>. This adds </w:t>
      </w:r>
      <w:r w:rsidRPr="00DD458D">
        <w:rPr>
          <w:rFonts w:ascii="Arial" w:eastAsia="Times New Roman" w:hAnsi="Arial" w:cs="Arial"/>
          <w:i/>
          <w:iCs/>
          <w:color w:val="000000"/>
          <w:sz w:val="18"/>
          <w:szCs w:val="18"/>
        </w:rPr>
        <w:t>Tag table_1</w:t>
      </w:r>
      <w:r w:rsidRPr="00DD458D">
        <w:rPr>
          <w:rFonts w:ascii="Arial" w:eastAsia="Times New Roman" w:hAnsi="Arial" w:cs="Arial"/>
          <w:color w:val="000000"/>
          <w:sz w:val="18"/>
          <w:szCs w:val="18"/>
        </w:rPr>
        <w:t>: double-click on that to open it.</w:t>
      </w:r>
    </w:p>
    <w:p w:rsidR="00DD458D" w:rsidRDefault="00DD458D" w:rsidP="00DD458D">
      <w:pPr>
        <w:spacing w:after="120" w:line="240" w:lineRule="atLeast"/>
        <w:ind w:left="720"/>
        <w:rPr>
          <w:rFonts w:ascii="Arial" w:eastAsia="Times New Roman" w:hAnsi="Arial" w:cs="Arial"/>
          <w:color w:val="000000"/>
          <w:sz w:val="18"/>
          <w:szCs w:val="18"/>
        </w:rPr>
      </w:pPr>
      <w:r w:rsidRPr="00DD458D">
        <w:rPr>
          <w:rFonts w:ascii="Arial" w:eastAsia="Times New Roman" w:hAnsi="Arial" w:cs="Arial"/>
          <w:noProof/>
          <w:color w:val="000000"/>
          <w:sz w:val="18"/>
          <w:szCs w:val="18"/>
        </w:rPr>
        <w:lastRenderedPageBreak/>
        <w:drawing>
          <wp:inline distT="0" distB="0" distL="0" distR="0">
            <wp:extent cx="2571750" cy="3746500"/>
            <wp:effectExtent l="0" t="0" r="0" b="6350"/>
            <wp:docPr id="19" name="Picture 19" descr="https://support.cognex.com/docs/isvidi_130/web/EN/Help_ISViDi/Content/Images/PROFINET_Siemens_S7_Config_TIAPORTAL/CreateMonitoringVars_AddNewTa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support.cognex.com/docs/isvidi_130/web/EN/Help_ISViDi/Content/Images/PROFINET_Siemens_S7_Config_TIAPORTAL/CreateMonitoringVars_AddNewTag.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71750" cy="3746500"/>
                    </a:xfrm>
                    <a:prstGeom prst="rect">
                      <a:avLst/>
                    </a:prstGeom>
                    <a:noFill/>
                    <a:ln>
                      <a:noFill/>
                    </a:ln>
                  </pic:spPr>
                </pic:pic>
              </a:graphicData>
            </a:graphic>
          </wp:inline>
        </w:drawing>
      </w:r>
    </w:p>
    <w:p w:rsidR="00F9283E" w:rsidRPr="00DD458D" w:rsidRDefault="00F9283E" w:rsidP="00DD458D">
      <w:pPr>
        <w:spacing w:after="120" w:line="240" w:lineRule="atLeast"/>
        <w:ind w:left="720"/>
        <w:rPr>
          <w:rFonts w:ascii="Arial" w:eastAsia="Times New Roman" w:hAnsi="Arial" w:cs="Arial"/>
          <w:color w:val="000000"/>
          <w:sz w:val="18"/>
          <w:szCs w:val="18"/>
        </w:rPr>
      </w:pPr>
    </w:p>
    <w:p w:rsidR="00DD458D" w:rsidRDefault="00DD458D" w:rsidP="00DD458D">
      <w:pPr>
        <w:numPr>
          <w:ilvl w:val="0"/>
          <w:numId w:val="20"/>
        </w:numPr>
        <w:spacing w:after="120" w:line="240" w:lineRule="atLeast"/>
        <w:ind w:firstLine="0"/>
        <w:rPr>
          <w:rFonts w:ascii="Arial" w:eastAsia="Times New Roman" w:hAnsi="Arial" w:cs="Arial"/>
          <w:color w:val="000000"/>
          <w:sz w:val="18"/>
          <w:szCs w:val="18"/>
        </w:rPr>
      </w:pPr>
      <w:r w:rsidRPr="00DD458D">
        <w:rPr>
          <w:rFonts w:ascii="Arial" w:eastAsia="Times New Roman" w:hAnsi="Arial" w:cs="Arial"/>
          <w:color w:val="000000"/>
          <w:sz w:val="18"/>
          <w:szCs w:val="18"/>
        </w:rPr>
        <w:t>Open the </w:t>
      </w:r>
      <w:r w:rsidRPr="00DD458D">
        <w:rPr>
          <w:rFonts w:ascii="Arial" w:eastAsia="Times New Roman" w:hAnsi="Arial" w:cs="Arial"/>
          <w:b/>
          <w:bCs/>
          <w:color w:val="000000"/>
          <w:sz w:val="18"/>
          <w:szCs w:val="18"/>
        </w:rPr>
        <w:t>Device view</w:t>
      </w:r>
      <w:r w:rsidRPr="00DD458D">
        <w:rPr>
          <w:rFonts w:ascii="Arial" w:eastAsia="Times New Roman" w:hAnsi="Arial" w:cs="Arial"/>
          <w:color w:val="000000"/>
          <w:sz w:val="18"/>
          <w:szCs w:val="18"/>
        </w:rPr>
        <w:t> tab on the top of the screen to check the Q and I addresses to use for each module.</w:t>
      </w:r>
    </w:p>
    <w:p w:rsidR="00F9283E" w:rsidRPr="00DD458D" w:rsidRDefault="00F9283E" w:rsidP="00F9283E">
      <w:pPr>
        <w:spacing w:after="120" w:line="240" w:lineRule="atLeast"/>
        <w:ind w:left="720"/>
        <w:rPr>
          <w:rFonts w:ascii="Arial" w:eastAsia="Times New Roman" w:hAnsi="Arial" w:cs="Arial"/>
          <w:color w:val="000000"/>
          <w:sz w:val="18"/>
          <w:szCs w:val="18"/>
        </w:rPr>
      </w:pPr>
    </w:p>
    <w:p w:rsidR="00DD458D" w:rsidRDefault="00DD458D" w:rsidP="00DD458D">
      <w:pPr>
        <w:spacing w:after="120" w:line="240" w:lineRule="atLeast"/>
        <w:ind w:left="720"/>
        <w:rPr>
          <w:rFonts w:ascii="Arial" w:eastAsia="Times New Roman" w:hAnsi="Arial" w:cs="Arial"/>
          <w:color w:val="000000"/>
          <w:sz w:val="18"/>
          <w:szCs w:val="18"/>
        </w:rPr>
      </w:pPr>
      <w:r w:rsidRPr="00DD458D">
        <w:rPr>
          <w:rFonts w:ascii="Arial" w:eastAsia="Times New Roman" w:hAnsi="Arial" w:cs="Arial"/>
          <w:noProof/>
          <w:color w:val="000000"/>
          <w:sz w:val="18"/>
          <w:szCs w:val="18"/>
        </w:rPr>
        <w:drawing>
          <wp:inline distT="0" distB="0" distL="0" distR="0">
            <wp:extent cx="5530850" cy="2369349"/>
            <wp:effectExtent l="0" t="0" r="0" b="0"/>
            <wp:docPr id="18" name="Picture 18" descr="https://support.cognex.com/docs/isvidi_130/web/EN/Help_ISViDi/Content/Images/PROFINET_Siemens_S7_Config_TIAPORTAL/Devic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support.cognex.com/docs/isvidi_130/web/EN/Help_ISViDi/Content/Images/PROFINET_Siemens_S7_Config_TIAPORTAL/DeviceView.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64296" cy="2383677"/>
                    </a:xfrm>
                    <a:prstGeom prst="rect">
                      <a:avLst/>
                    </a:prstGeom>
                    <a:noFill/>
                    <a:ln>
                      <a:noFill/>
                    </a:ln>
                  </pic:spPr>
                </pic:pic>
              </a:graphicData>
            </a:graphic>
          </wp:inline>
        </w:drawing>
      </w:r>
    </w:p>
    <w:p w:rsidR="00F9283E" w:rsidRPr="00DD458D" w:rsidRDefault="00F9283E" w:rsidP="00DD458D">
      <w:pPr>
        <w:spacing w:after="120" w:line="240" w:lineRule="atLeast"/>
        <w:ind w:left="720"/>
        <w:rPr>
          <w:rFonts w:ascii="Arial" w:eastAsia="Times New Roman" w:hAnsi="Arial" w:cs="Arial"/>
          <w:color w:val="000000"/>
          <w:sz w:val="18"/>
          <w:szCs w:val="18"/>
        </w:rPr>
      </w:pPr>
    </w:p>
    <w:p w:rsidR="00DD458D" w:rsidRPr="00DD458D" w:rsidRDefault="00DD458D" w:rsidP="00DD458D">
      <w:pPr>
        <w:numPr>
          <w:ilvl w:val="0"/>
          <w:numId w:val="21"/>
        </w:numPr>
        <w:spacing w:after="120" w:line="240" w:lineRule="atLeast"/>
        <w:ind w:firstLine="0"/>
        <w:rPr>
          <w:rFonts w:ascii="Arial" w:eastAsia="Times New Roman" w:hAnsi="Arial" w:cs="Arial"/>
          <w:color w:val="000000"/>
          <w:sz w:val="18"/>
          <w:szCs w:val="18"/>
        </w:rPr>
      </w:pPr>
      <w:r w:rsidRPr="00DD458D">
        <w:rPr>
          <w:rFonts w:ascii="Arial" w:eastAsia="Times New Roman" w:hAnsi="Arial" w:cs="Arial"/>
          <w:color w:val="000000"/>
          <w:sz w:val="18"/>
          <w:szCs w:val="18"/>
        </w:rPr>
        <w:t>Open </w:t>
      </w:r>
      <w:r w:rsidRPr="00DD458D">
        <w:rPr>
          <w:rFonts w:ascii="Arial" w:eastAsia="Times New Roman" w:hAnsi="Arial" w:cs="Arial"/>
          <w:b/>
          <w:bCs/>
          <w:color w:val="000000"/>
          <w:sz w:val="18"/>
          <w:szCs w:val="18"/>
        </w:rPr>
        <w:t>Tag table_1</w:t>
      </w:r>
      <w:r w:rsidRPr="00DD458D">
        <w:rPr>
          <w:rFonts w:ascii="Arial" w:eastAsia="Times New Roman" w:hAnsi="Arial" w:cs="Arial"/>
          <w:color w:val="000000"/>
          <w:sz w:val="18"/>
          <w:szCs w:val="18"/>
        </w:rPr>
        <w:t>, and fill it according to the contents of the </w:t>
      </w:r>
      <w:r w:rsidRPr="00DD458D">
        <w:rPr>
          <w:rFonts w:ascii="Arial" w:eastAsia="Times New Roman" w:hAnsi="Arial" w:cs="Arial"/>
          <w:i/>
          <w:iCs/>
          <w:color w:val="000000"/>
          <w:sz w:val="18"/>
          <w:szCs w:val="18"/>
        </w:rPr>
        <w:t>Device view</w:t>
      </w:r>
      <w:r w:rsidRPr="00DD458D">
        <w:rPr>
          <w:rFonts w:ascii="Arial" w:eastAsia="Times New Roman" w:hAnsi="Arial" w:cs="Arial"/>
          <w:color w:val="000000"/>
          <w:sz w:val="18"/>
          <w:szCs w:val="18"/>
        </w:rPr>
        <w:t> </w:t>
      </w:r>
      <w:proofErr w:type="gramStart"/>
      <w:r w:rsidRPr="00DD458D">
        <w:rPr>
          <w:rFonts w:ascii="Arial" w:eastAsia="Times New Roman" w:hAnsi="Arial" w:cs="Arial"/>
          <w:color w:val="000000"/>
          <w:sz w:val="18"/>
          <w:szCs w:val="18"/>
        </w:rPr>
        <w:t>tab ,</w:t>
      </w:r>
      <w:proofErr w:type="gramEnd"/>
      <w:r w:rsidRPr="00DD458D">
        <w:rPr>
          <w:rFonts w:ascii="Arial" w:eastAsia="Times New Roman" w:hAnsi="Arial" w:cs="Arial"/>
          <w:color w:val="000000"/>
          <w:sz w:val="18"/>
          <w:szCs w:val="18"/>
        </w:rPr>
        <w:t xml:space="preserve"> then save the project. This is necessary to see the names of the variables when they are monitored.</w:t>
      </w:r>
    </w:p>
    <w:p w:rsidR="00DD458D" w:rsidRDefault="00DD458D" w:rsidP="00DD458D">
      <w:pPr>
        <w:spacing w:after="120" w:line="240" w:lineRule="atLeast"/>
        <w:ind w:left="720"/>
        <w:rPr>
          <w:rFonts w:ascii="Arial" w:eastAsia="Times New Roman" w:hAnsi="Arial" w:cs="Arial"/>
          <w:color w:val="000000"/>
          <w:sz w:val="18"/>
          <w:szCs w:val="18"/>
        </w:rPr>
      </w:pPr>
      <w:r w:rsidRPr="00DD458D">
        <w:rPr>
          <w:rFonts w:ascii="Arial" w:eastAsia="Times New Roman" w:hAnsi="Arial" w:cs="Arial"/>
          <w:noProof/>
          <w:color w:val="000000"/>
          <w:sz w:val="18"/>
          <w:szCs w:val="18"/>
        </w:rPr>
        <w:lastRenderedPageBreak/>
        <w:drawing>
          <wp:inline distT="0" distB="0" distL="0" distR="0">
            <wp:extent cx="5334000" cy="3290860"/>
            <wp:effectExtent l="0" t="0" r="0" b="5080"/>
            <wp:docPr id="17" name="Picture 17" descr="https://support.cognex.com/docs/isvidi_130/web/EN/Help_ISViDi/Content/Images/PROFINET_Siemens_S7_Config_TIAPORTAL/CreateMonitoringVars_FillTa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support.cognex.com/docs/isvidi_130/web/EN/Help_ISViDi/Content/Images/PROFINET_Siemens_S7_Config_TIAPORTAL/CreateMonitoringVars_FillTable.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54468" cy="3303488"/>
                    </a:xfrm>
                    <a:prstGeom prst="rect">
                      <a:avLst/>
                    </a:prstGeom>
                    <a:noFill/>
                    <a:ln>
                      <a:noFill/>
                    </a:ln>
                  </pic:spPr>
                </pic:pic>
              </a:graphicData>
            </a:graphic>
          </wp:inline>
        </w:drawing>
      </w:r>
    </w:p>
    <w:p w:rsidR="00F9283E" w:rsidRPr="00DD458D" w:rsidRDefault="00F9283E" w:rsidP="00DD458D">
      <w:pPr>
        <w:spacing w:after="120" w:line="240" w:lineRule="atLeast"/>
        <w:ind w:left="720"/>
        <w:rPr>
          <w:rFonts w:ascii="Arial" w:eastAsia="Times New Roman" w:hAnsi="Arial" w:cs="Arial"/>
          <w:color w:val="000000"/>
          <w:sz w:val="18"/>
          <w:szCs w:val="18"/>
        </w:rPr>
      </w:pPr>
    </w:p>
    <w:p w:rsidR="00DD458D" w:rsidRPr="00DD458D" w:rsidRDefault="00DD458D" w:rsidP="00DD458D">
      <w:pPr>
        <w:numPr>
          <w:ilvl w:val="0"/>
          <w:numId w:val="22"/>
        </w:numPr>
        <w:spacing w:after="120" w:line="240" w:lineRule="atLeast"/>
        <w:ind w:firstLine="0"/>
        <w:rPr>
          <w:rFonts w:ascii="Arial" w:eastAsia="Times New Roman" w:hAnsi="Arial" w:cs="Arial"/>
          <w:color w:val="000000"/>
          <w:sz w:val="18"/>
          <w:szCs w:val="18"/>
        </w:rPr>
      </w:pPr>
      <w:r w:rsidRPr="00DD458D">
        <w:rPr>
          <w:rFonts w:ascii="Arial" w:eastAsia="Times New Roman" w:hAnsi="Arial" w:cs="Arial"/>
          <w:color w:val="000000"/>
          <w:sz w:val="18"/>
          <w:szCs w:val="18"/>
        </w:rPr>
        <w:t>On the </w:t>
      </w:r>
      <w:r w:rsidRPr="00DD458D">
        <w:rPr>
          <w:rFonts w:ascii="Arial" w:eastAsia="Times New Roman" w:hAnsi="Arial" w:cs="Arial"/>
          <w:i/>
          <w:iCs/>
          <w:color w:val="000000"/>
          <w:sz w:val="18"/>
          <w:szCs w:val="18"/>
        </w:rPr>
        <w:t>Project tree</w:t>
      </w:r>
      <w:r w:rsidRPr="00DD458D">
        <w:rPr>
          <w:rFonts w:ascii="Arial" w:eastAsia="Times New Roman" w:hAnsi="Arial" w:cs="Arial"/>
          <w:color w:val="000000"/>
          <w:sz w:val="18"/>
          <w:szCs w:val="18"/>
        </w:rPr>
        <w:t> pane, go to the following location:</w:t>
      </w:r>
    </w:p>
    <w:p w:rsidR="00DD458D" w:rsidRPr="00DD458D" w:rsidRDefault="00DD458D" w:rsidP="00DD458D">
      <w:pPr>
        <w:spacing w:after="120" w:line="240" w:lineRule="atLeast"/>
        <w:ind w:left="720"/>
        <w:rPr>
          <w:rFonts w:ascii="Arial" w:eastAsia="Times New Roman" w:hAnsi="Arial" w:cs="Arial"/>
          <w:color w:val="000000"/>
          <w:sz w:val="18"/>
          <w:szCs w:val="18"/>
        </w:rPr>
      </w:pPr>
      <w:r w:rsidRPr="00DD458D">
        <w:rPr>
          <w:rFonts w:ascii="Arial" w:eastAsia="Times New Roman" w:hAnsi="Arial" w:cs="Arial"/>
          <w:i/>
          <w:iCs/>
          <w:color w:val="000000"/>
          <w:sz w:val="18"/>
          <w:szCs w:val="18"/>
        </w:rPr>
        <w:t>Vision System =&gt; PLC_1 [CPU 1211C DC/DC/DC] =&gt; Watch and force tables</w:t>
      </w:r>
    </w:p>
    <w:p w:rsidR="00DD458D" w:rsidRDefault="00DD458D" w:rsidP="00DD458D">
      <w:pPr>
        <w:numPr>
          <w:ilvl w:val="0"/>
          <w:numId w:val="23"/>
        </w:numPr>
        <w:spacing w:after="120" w:line="240" w:lineRule="atLeast"/>
        <w:ind w:firstLine="0"/>
        <w:rPr>
          <w:rFonts w:ascii="Arial" w:eastAsia="Times New Roman" w:hAnsi="Arial" w:cs="Arial"/>
          <w:color w:val="000000"/>
          <w:sz w:val="18"/>
          <w:szCs w:val="18"/>
        </w:rPr>
      </w:pPr>
      <w:r w:rsidRPr="00DD458D">
        <w:rPr>
          <w:rFonts w:ascii="Arial" w:eastAsia="Times New Roman" w:hAnsi="Arial" w:cs="Arial"/>
          <w:color w:val="000000"/>
          <w:sz w:val="18"/>
          <w:szCs w:val="18"/>
        </w:rPr>
        <w:t>Double-click on </w:t>
      </w:r>
      <w:r w:rsidRPr="00DD458D">
        <w:rPr>
          <w:rFonts w:ascii="Arial" w:eastAsia="Times New Roman" w:hAnsi="Arial" w:cs="Arial"/>
          <w:b/>
          <w:bCs/>
          <w:color w:val="000000"/>
          <w:sz w:val="18"/>
          <w:szCs w:val="18"/>
        </w:rPr>
        <w:t>Add new watch table</w:t>
      </w:r>
      <w:r w:rsidRPr="00DD458D">
        <w:rPr>
          <w:rFonts w:ascii="Arial" w:eastAsia="Times New Roman" w:hAnsi="Arial" w:cs="Arial"/>
          <w:color w:val="000000"/>
          <w:sz w:val="18"/>
          <w:szCs w:val="18"/>
        </w:rPr>
        <w:t>. This adds </w:t>
      </w:r>
      <w:r w:rsidRPr="00DD458D">
        <w:rPr>
          <w:rFonts w:ascii="Arial" w:eastAsia="Times New Roman" w:hAnsi="Arial" w:cs="Arial"/>
          <w:i/>
          <w:iCs/>
          <w:color w:val="000000"/>
          <w:sz w:val="18"/>
          <w:szCs w:val="18"/>
        </w:rPr>
        <w:t>Watch table_1</w:t>
      </w:r>
      <w:r w:rsidRPr="00DD458D">
        <w:rPr>
          <w:rFonts w:ascii="Arial" w:eastAsia="Times New Roman" w:hAnsi="Arial" w:cs="Arial"/>
          <w:color w:val="000000"/>
          <w:sz w:val="18"/>
          <w:szCs w:val="18"/>
        </w:rPr>
        <w:t>: double-click on that to open it.</w:t>
      </w:r>
    </w:p>
    <w:p w:rsidR="00F9283E" w:rsidRPr="00DD458D" w:rsidRDefault="00F9283E" w:rsidP="00F9283E">
      <w:pPr>
        <w:spacing w:after="120" w:line="240" w:lineRule="atLeast"/>
        <w:ind w:left="720"/>
        <w:rPr>
          <w:rFonts w:ascii="Arial" w:eastAsia="Times New Roman" w:hAnsi="Arial" w:cs="Arial"/>
          <w:color w:val="000000"/>
          <w:sz w:val="18"/>
          <w:szCs w:val="18"/>
        </w:rPr>
      </w:pPr>
    </w:p>
    <w:p w:rsidR="00DD458D" w:rsidRPr="00DD458D" w:rsidRDefault="00DD458D" w:rsidP="00DD458D">
      <w:pPr>
        <w:spacing w:after="120" w:line="240" w:lineRule="atLeast"/>
        <w:ind w:left="720"/>
        <w:rPr>
          <w:rFonts w:ascii="Arial" w:eastAsia="Times New Roman" w:hAnsi="Arial" w:cs="Arial"/>
          <w:color w:val="000000"/>
          <w:sz w:val="18"/>
          <w:szCs w:val="18"/>
        </w:rPr>
      </w:pPr>
      <w:r w:rsidRPr="00DD458D">
        <w:rPr>
          <w:rFonts w:ascii="Arial" w:eastAsia="Times New Roman" w:hAnsi="Arial" w:cs="Arial"/>
          <w:noProof/>
          <w:color w:val="000000"/>
          <w:sz w:val="18"/>
          <w:szCs w:val="18"/>
        </w:rPr>
        <w:drawing>
          <wp:inline distT="0" distB="0" distL="0" distR="0">
            <wp:extent cx="2373013" cy="3644900"/>
            <wp:effectExtent l="0" t="0" r="8255" b="0"/>
            <wp:docPr id="16" name="Picture 16" descr="https://support.cognex.com/docs/isvidi_130/web/EN/Help_ISViDi/Content/Images/PROFINET_Siemens_S7_Config_TIAPORTAL/CreateMonitoringVars_AddWatchTa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support.cognex.com/docs/isvidi_130/web/EN/Help_ISViDi/Content/Images/PROFINET_Siemens_S7_Config_TIAPORTAL/CreateMonitoringVars_AddWatchTable.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88260" cy="3668319"/>
                    </a:xfrm>
                    <a:prstGeom prst="rect">
                      <a:avLst/>
                    </a:prstGeom>
                    <a:noFill/>
                    <a:ln>
                      <a:noFill/>
                    </a:ln>
                  </pic:spPr>
                </pic:pic>
              </a:graphicData>
            </a:graphic>
          </wp:inline>
        </w:drawing>
      </w:r>
    </w:p>
    <w:p w:rsidR="00DD458D" w:rsidRPr="00DD458D" w:rsidRDefault="00DD458D" w:rsidP="00DD458D">
      <w:pPr>
        <w:numPr>
          <w:ilvl w:val="0"/>
          <w:numId w:val="24"/>
        </w:numPr>
        <w:spacing w:after="120" w:line="240" w:lineRule="atLeast"/>
        <w:ind w:firstLine="0"/>
        <w:rPr>
          <w:rFonts w:ascii="Arial" w:eastAsia="Times New Roman" w:hAnsi="Arial" w:cs="Arial"/>
          <w:color w:val="000000"/>
          <w:sz w:val="18"/>
          <w:szCs w:val="18"/>
        </w:rPr>
      </w:pPr>
      <w:r w:rsidRPr="00DD458D">
        <w:rPr>
          <w:rFonts w:ascii="Arial" w:eastAsia="Times New Roman" w:hAnsi="Arial" w:cs="Arial"/>
          <w:color w:val="000000"/>
          <w:sz w:val="18"/>
          <w:szCs w:val="18"/>
        </w:rPr>
        <w:lastRenderedPageBreak/>
        <w:t>Fill the </w:t>
      </w:r>
      <w:r w:rsidRPr="00DD458D">
        <w:rPr>
          <w:rFonts w:ascii="Arial" w:eastAsia="Times New Roman" w:hAnsi="Arial" w:cs="Arial"/>
          <w:i/>
          <w:iCs/>
          <w:color w:val="000000"/>
          <w:sz w:val="18"/>
          <w:szCs w:val="18"/>
        </w:rPr>
        <w:t>Address</w:t>
      </w:r>
      <w:r w:rsidRPr="00DD458D">
        <w:rPr>
          <w:rFonts w:ascii="Arial" w:eastAsia="Times New Roman" w:hAnsi="Arial" w:cs="Arial"/>
          <w:color w:val="000000"/>
          <w:sz w:val="18"/>
          <w:szCs w:val="18"/>
        </w:rPr>
        <w:t xml:space="preserve"> column as seen in the table below. </w:t>
      </w:r>
      <w:proofErr w:type="spellStart"/>
      <w:r w:rsidRPr="00DD458D">
        <w:rPr>
          <w:rFonts w:ascii="Arial" w:eastAsia="Times New Roman" w:hAnsi="Arial" w:cs="Arial"/>
          <w:color w:val="000000"/>
          <w:sz w:val="18"/>
          <w:szCs w:val="18"/>
        </w:rPr>
        <w:t>Cognex</w:t>
      </w:r>
      <w:proofErr w:type="spellEnd"/>
      <w:r w:rsidRPr="00DD458D">
        <w:rPr>
          <w:rFonts w:ascii="Arial" w:eastAsia="Times New Roman" w:hAnsi="Arial" w:cs="Arial"/>
          <w:color w:val="000000"/>
          <w:sz w:val="18"/>
          <w:szCs w:val="18"/>
        </w:rPr>
        <w:t xml:space="preserve"> recommends filling the </w:t>
      </w:r>
      <w:r w:rsidRPr="00DD458D">
        <w:rPr>
          <w:rFonts w:ascii="Arial" w:eastAsia="Times New Roman" w:hAnsi="Arial" w:cs="Arial"/>
          <w:i/>
          <w:iCs/>
          <w:color w:val="000000"/>
          <w:sz w:val="18"/>
          <w:szCs w:val="18"/>
        </w:rPr>
        <w:t>Name</w:t>
      </w:r>
      <w:r w:rsidRPr="00DD458D">
        <w:rPr>
          <w:rFonts w:ascii="Arial" w:eastAsia="Times New Roman" w:hAnsi="Arial" w:cs="Arial"/>
          <w:color w:val="000000"/>
          <w:sz w:val="18"/>
          <w:szCs w:val="18"/>
        </w:rPr>
        <w:t> column first, as the </w:t>
      </w:r>
      <w:r w:rsidRPr="00DD458D">
        <w:rPr>
          <w:rFonts w:ascii="Arial" w:eastAsia="Times New Roman" w:hAnsi="Arial" w:cs="Arial"/>
          <w:i/>
          <w:iCs/>
          <w:color w:val="000000"/>
          <w:sz w:val="18"/>
          <w:szCs w:val="18"/>
        </w:rPr>
        <w:t>Address</w:t>
      </w:r>
      <w:r w:rsidRPr="00DD458D">
        <w:rPr>
          <w:rFonts w:ascii="Arial" w:eastAsia="Times New Roman" w:hAnsi="Arial" w:cs="Arial"/>
          <w:color w:val="000000"/>
          <w:sz w:val="18"/>
          <w:szCs w:val="18"/>
        </w:rPr>
        <w:t> and </w:t>
      </w:r>
      <w:r w:rsidRPr="00DD458D">
        <w:rPr>
          <w:rFonts w:ascii="Arial" w:eastAsia="Times New Roman" w:hAnsi="Arial" w:cs="Arial"/>
          <w:i/>
          <w:iCs/>
          <w:color w:val="000000"/>
          <w:sz w:val="18"/>
          <w:szCs w:val="18"/>
        </w:rPr>
        <w:t>Display format</w:t>
      </w:r>
      <w:r w:rsidRPr="00DD458D">
        <w:rPr>
          <w:rFonts w:ascii="Arial" w:eastAsia="Times New Roman" w:hAnsi="Arial" w:cs="Arial"/>
          <w:color w:val="000000"/>
          <w:sz w:val="18"/>
          <w:szCs w:val="18"/>
        </w:rPr>
        <w:t> columns should be filled automatically when selected, according to the values configured in Step 4. Save these values for future use.</w:t>
      </w:r>
    </w:p>
    <w:p w:rsidR="00DD458D" w:rsidRPr="00DD458D" w:rsidRDefault="00DD458D" w:rsidP="00DD458D">
      <w:pPr>
        <w:spacing w:after="120" w:line="240" w:lineRule="atLeast"/>
        <w:ind w:left="720"/>
        <w:rPr>
          <w:rFonts w:ascii="Arial" w:eastAsia="Times New Roman" w:hAnsi="Arial" w:cs="Arial"/>
          <w:color w:val="000000"/>
          <w:sz w:val="18"/>
          <w:szCs w:val="18"/>
        </w:rPr>
      </w:pPr>
      <w:r w:rsidRPr="00DD458D">
        <w:rPr>
          <w:rFonts w:ascii="Arial" w:eastAsia="Times New Roman" w:hAnsi="Arial" w:cs="Arial"/>
          <w:noProof/>
          <w:color w:val="000000"/>
          <w:sz w:val="18"/>
          <w:szCs w:val="18"/>
        </w:rPr>
        <w:drawing>
          <wp:inline distT="0" distB="0" distL="0" distR="0">
            <wp:extent cx="4023646" cy="3937000"/>
            <wp:effectExtent l="0" t="0" r="0" b="6350"/>
            <wp:docPr id="15" name="Picture 15" descr="https://support.cognex.com/docs/isvidi_130/web/EN/Help_ISViDi/Content/Images/PROFINET_Siemens_S7_Config_TIAPORTAL/CreateMonitoringVars_FillAddr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support.cognex.com/docs/isvidi_130/web/EN/Help_ISViDi/Content/Images/PROFINET_Siemens_S7_Config_TIAPORTAL/CreateMonitoringVars_FillAddress.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040882" cy="3953865"/>
                    </a:xfrm>
                    <a:prstGeom prst="rect">
                      <a:avLst/>
                    </a:prstGeom>
                    <a:noFill/>
                    <a:ln>
                      <a:noFill/>
                    </a:ln>
                  </pic:spPr>
                </pic:pic>
              </a:graphicData>
            </a:graphic>
          </wp:inline>
        </w:drawing>
      </w:r>
    </w:p>
    <w:p w:rsidR="00DD458D" w:rsidRPr="00DD458D" w:rsidRDefault="00DD458D" w:rsidP="00DD458D">
      <w:pPr>
        <w:numPr>
          <w:ilvl w:val="0"/>
          <w:numId w:val="25"/>
        </w:numPr>
        <w:spacing w:after="120" w:line="240" w:lineRule="atLeast"/>
        <w:ind w:firstLine="0"/>
        <w:rPr>
          <w:rFonts w:ascii="Arial" w:eastAsia="Times New Roman" w:hAnsi="Arial" w:cs="Arial"/>
          <w:color w:val="000000"/>
          <w:sz w:val="18"/>
          <w:szCs w:val="18"/>
        </w:rPr>
      </w:pPr>
      <w:r w:rsidRPr="00DD458D">
        <w:rPr>
          <w:rFonts w:ascii="Arial" w:eastAsia="Times New Roman" w:hAnsi="Arial" w:cs="Arial"/>
          <w:color w:val="000000"/>
          <w:sz w:val="18"/>
          <w:szCs w:val="18"/>
        </w:rPr>
        <w:t>Click the </w:t>
      </w:r>
      <w:r w:rsidRPr="00DD458D">
        <w:rPr>
          <w:rFonts w:ascii="Arial" w:eastAsia="Times New Roman" w:hAnsi="Arial" w:cs="Arial"/>
          <w:b/>
          <w:bCs/>
          <w:color w:val="000000"/>
          <w:sz w:val="18"/>
          <w:szCs w:val="18"/>
        </w:rPr>
        <w:t>Monitor all</w:t>
      </w:r>
      <w:r w:rsidRPr="00DD458D">
        <w:rPr>
          <w:rFonts w:ascii="Arial" w:eastAsia="Times New Roman" w:hAnsi="Arial" w:cs="Arial"/>
          <w:color w:val="000000"/>
          <w:sz w:val="18"/>
          <w:szCs w:val="18"/>
        </w:rPr>
        <w:t> icon, so that the </w:t>
      </w:r>
      <w:r w:rsidRPr="00DD458D">
        <w:rPr>
          <w:rFonts w:ascii="Arial" w:eastAsia="Times New Roman" w:hAnsi="Arial" w:cs="Arial"/>
          <w:i/>
          <w:iCs/>
          <w:color w:val="000000"/>
          <w:sz w:val="18"/>
          <w:szCs w:val="18"/>
        </w:rPr>
        <w:t>Monitor value</w:t>
      </w:r>
      <w:r w:rsidRPr="00DD458D">
        <w:rPr>
          <w:rFonts w:ascii="Arial" w:eastAsia="Times New Roman" w:hAnsi="Arial" w:cs="Arial"/>
          <w:color w:val="000000"/>
          <w:sz w:val="18"/>
          <w:szCs w:val="18"/>
        </w:rPr>
        <w:t> column is updated cyclically, and the changes coming from the vision system can be monitored. To modify a variable in this case, type the new value in the </w:t>
      </w:r>
      <w:r w:rsidRPr="00DD458D">
        <w:rPr>
          <w:rFonts w:ascii="Arial" w:eastAsia="Times New Roman" w:hAnsi="Arial" w:cs="Arial"/>
          <w:i/>
          <w:iCs/>
          <w:color w:val="000000"/>
          <w:sz w:val="18"/>
          <w:szCs w:val="18"/>
        </w:rPr>
        <w:t>Modify value</w:t>
      </w:r>
      <w:r w:rsidRPr="00DD458D">
        <w:rPr>
          <w:rFonts w:ascii="Arial" w:eastAsia="Times New Roman" w:hAnsi="Arial" w:cs="Arial"/>
          <w:color w:val="000000"/>
          <w:sz w:val="18"/>
          <w:szCs w:val="18"/>
        </w:rPr>
        <w:t> column, and then click the </w:t>
      </w:r>
      <w:r w:rsidRPr="00DD458D">
        <w:rPr>
          <w:rFonts w:ascii="Arial" w:eastAsia="Times New Roman" w:hAnsi="Arial" w:cs="Arial"/>
          <w:b/>
          <w:bCs/>
          <w:color w:val="000000"/>
          <w:sz w:val="18"/>
          <w:szCs w:val="18"/>
        </w:rPr>
        <w:t>Modify all selected values once and now</w:t>
      </w:r>
      <w:r w:rsidRPr="00DD458D">
        <w:rPr>
          <w:rFonts w:ascii="Arial" w:eastAsia="Times New Roman" w:hAnsi="Arial" w:cs="Arial"/>
          <w:color w:val="000000"/>
          <w:sz w:val="18"/>
          <w:szCs w:val="18"/>
        </w:rPr>
        <w:t> icon.</w:t>
      </w:r>
    </w:p>
    <w:p w:rsidR="00DD458D" w:rsidRPr="00DD458D" w:rsidRDefault="00DD458D" w:rsidP="00DD458D">
      <w:pPr>
        <w:spacing w:after="120" w:line="240" w:lineRule="atLeast"/>
        <w:ind w:left="720"/>
        <w:rPr>
          <w:rFonts w:ascii="Arial" w:eastAsia="Times New Roman" w:hAnsi="Arial" w:cs="Arial"/>
          <w:color w:val="000000"/>
          <w:sz w:val="18"/>
          <w:szCs w:val="18"/>
        </w:rPr>
      </w:pPr>
      <w:r w:rsidRPr="00DD458D">
        <w:rPr>
          <w:rFonts w:ascii="Arial" w:eastAsia="Times New Roman" w:hAnsi="Arial" w:cs="Arial"/>
          <w:noProof/>
          <w:color w:val="000000"/>
          <w:sz w:val="18"/>
          <w:szCs w:val="18"/>
        </w:rPr>
        <w:lastRenderedPageBreak/>
        <w:drawing>
          <wp:inline distT="0" distB="0" distL="0" distR="0">
            <wp:extent cx="5545444" cy="3467100"/>
            <wp:effectExtent l="0" t="0" r="0" b="0"/>
            <wp:docPr id="14" name="Picture 14" descr="https://support.cognex.com/docs/isvidi_130/web/EN/Help_ISViDi/Content/Images/PROFINET_Siemens_S7_Config_TIAPORTAL/CreateMonitoringVars_ModifyValu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support.cognex.com/docs/isvidi_130/web/EN/Help_ISViDi/Content/Images/PROFINET_Siemens_S7_Config_TIAPORTAL/CreateMonitoringVars_ModifyValues.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551707" cy="3471016"/>
                    </a:xfrm>
                    <a:prstGeom prst="rect">
                      <a:avLst/>
                    </a:prstGeom>
                    <a:noFill/>
                    <a:ln>
                      <a:noFill/>
                    </a:ln>
                  </pic:spPr>
                </pic:pic>
              </a:graphicData>
            </a:graphic>
          </wp:inline>
        </w:drawing>
      </w:r>
    </w:p>
    <w:p w:rsidR="00DD458D" w:rsidRPr="00DD458D" w:rsidRDefault="00DD458D" w:rsidP="00DD458D">
      <w:pPr>
        <w:shd w:val="clear" w:color="auto" w:fill="E5E5E5"/>
        <w:spacing w:after="0" w:line="220" w:lineRule="atLeast"/>
        <w:ind w:left="720" w:hanging="360"/>
        <w:rPr>
          <w:rFonts w:ascii="Arial" w:eastAsia="Times New Roman" w:hAnsi="Arial" w:cs="Arial"/>
          <w:color w:val="000000"/>
          <w:sz w:val="18"/>
          <w:szCs w:val="18"/>
        </w:rPr>
      </w:pPr>
      <w:r w:rsidRPr="00DD458D">
        <w:rPr>
          <w:rFonts w:ascii="Arial" w:eastAsia="Times New Roman" w:hAnsi="Arial" w:cs="Arial"/>
          <w:b/>
          <w:bCs/>
          <w:color w:val="000000"/>
          <w:sz w:val="18"/>
          <w:szCs w:val="18"/>
        </w:rPr>
        <w:t>Note</w:t>
      </w:r>
      <w:r w:rsidRPr="00DD458D">
        <w:rPr>
          <w:rFonts w:ascii="Arial" w:eastAsia="Times New Roman" w:hAnsi="Arial" w:cs="Arial"/>
          <w:color w:val="000000"/>
          <w:sz w:val="18"/>
          <w:szCs w:val="18"/>
        </w:rPr>
        <w:t>:</w:t>
      </w:r>
    </w:p>
    <w:p w:rsidR="00DD458D" w:rsidRPr="00DD458D" w:rsidRDefault="00DD458D" w:rsidP="00DD458D">
      <w:pPr>
        <w:numPr>
          <w:ilvl w:val="1"/>
          <w:numId w:val="26"/>
        </w:numPr>
        <w:shd w:val="clear" w:color="auto" w:fill="E5E5E5"/>
        <w:spacing w:before="80" w:after="120" w:line="240" w:lineRule="atLeast"/>
        <w:rPr>
          <w:rFonts w:ascii="Arial" w:eastAsia="Times New Roman" w:hAnsi="Arial" w:cs="Arial"/>
          <w:color w:val="000000"/>
          <w:sz w:val="18"/>
          <w:szCs w:val="18"/>
        </w:rPr>
      </w:pPr>
      <w:r w:rsidRPr="00DD458D">
        <w:rPr>
          <w:rFonts w:ascii="Arial" w:eastAsia="Times New Roman" w:hAnsi="Arial" w:cs="Arial"/>
          <w:color w:val="000000"/>
          <w:sz w:val="18"/>
          <w:szCs w:val="18"/>
        </w:rPr>
        <w:t>Analog values are indicated in hexadecimal format by default.</w:t>
      </w:r>
    </w:p>
    <w:p w:rsidR="00DD458D" w:rsidRPr="00DD458D" w:rsidRDefault="00DD458D" w:rsidP="00DD458D">
      <w:pPr>
        <w:numPr>
          <w:ilvl w:val="1"/>
          <w:numId w:val="27"/>
        </w:numPr>
        <w:shd w:val="clear" w:color="auto" w:fill="E5E5E5"/>
        <w:spacing w:before="80" w:after="120" w:line="240" w:lineRule="atLeast"/>
        <w:rPr>
          <w:rFonts w:ascii="Arial" w:eastAsia="Times New Roman" w:hAnsi="Arial" w:cs="Arial"/>
          <w:color w:val="000000"/>
          <w:sz w:val="18"/>
          <w:szCs w:val="18"/>
        </w:rPr>
      </w:pPr>
      <w:r w:rsidRPr="00DD458D">
        <w:rPr>
          <w:rFonts w:ascii="Arial" w:eastAsia="Times New Roman" w:hAnsi="Arial" w:cs="Arial"/>
          <w:color w:val="000000"/>
          <w:sz w:val="18"/>
          <w:szCs w:val="18"/>
        </w:rPr>
        <w:t>The </w:t>
      </w:r>
      <w:r w:rsidRPr="00DD458D">
        <w:rPr>
          <w:rFonts w:ascii="Arial" w:eastAsia="Times New Roman" w:hAnsi="Arial" w:cs="Arial"/>
          <w:i/>
          <w:iCs/>
          <w:color w:val="000000"/>
          <w:sz w:val="18"/>
          <w:szCs w:val="18"/>
        </w:rPr>
        <w:t>System Ready</w:t>
      </w:r>
      <w:r w:rsidRPr="00DD458D">
        <w:rPr>
          <w:rFonts w:ascii="Arial" w:eastAsia="Times New Roman" w:hAnsi="Arial" w:cs="Arial"/>
          <w:color w:val="000000"/>
          <w:sz w:val="18"/>
          <w:szCs w:val="18"/>
        </w:rPr>
        <w:t> bit should show </w:t>
      </w:r>
      <w:r w:rsidRPr="00DD458D">
        <w:rPr>
          <w:rFonts w:ascii="Courier New" w:eastAsia="Times New Roman" w:hAnsi="Courier New" w:cs="Courier New"/>
          <w:color w:val="000000"/>
          <w:sz w:val="18"/>
          <w:szCs w:val="18"/>
        </w:rPr>
        <w:t>TRUE</w:t>
      </w:r>
      <w:r w:rsidRPr="00DD458D">
        <w:rPr>
          <w:rFonts w:ascii="Arial" w:eastAsia="Times New Roman" w:hAnsi="Arial" w:cs="Arial"/>
          <w:color w:val="000000"/>
          <w:sz w:val="18"/>
          <w:szCs w:val="18"/>
        </w:rPr>
        <w:t> if everything has been set up correctly.</w:t>
      </w:r>
    </w:p>
    <w:p w:rsidR="00376858" w:rsidRPr="00376858" w:rsidRDefault="00FC07DC" w:rsidP="00376858">
      <w:pPr>
        <w:pStyle w:val="Heading1"/>
        <w:rPr>
          <w:rFonts w:ascii="Calibri" w:hAnsi="Calibri" w:cs="Calibri"/>
          <w:sz w:val="28"/>
          <w:szCs w:val="28"/>
        </w:rPr>
      </w:pPr>
      <w:r>
        <w:br w:type="page"/>
      </w:r>
      <w:r w:rsidR="00376858" w:rsidRPr="00376858">
        <w:rPr>
          <w:rFonts w:ascii="Calibri" w:hAnsi="Calibri" w:cs="Calibri"/>
          <w:sz w:val="28"/>
          <w:szCs w:val="28"/>
        </w:rPr>
        <w:lastRenderedPageBreak/>
        <w:t>In-Sight D900 Vision System - PROFINET IO Module Reference Table</w:t>
      </w:r>
    </w:p>
    <w:p w:rsidR="00376858" w:rsidRDefault="00376858" w:rsidP="00376858">
      <w:pPr>
        <w:pStyle w:val="NormalWeb"/>
      </w:pPr>
      <w:r>
        <w:t>This topic provides the PROFINET IO Module reference table, which should be used in conjunction with the GSD file for incorporating the In-Sight vision system and a Siemens PLC via the PROFINET protocol.</w:t>
      </w:r>
    </w:p>
    <w:p w:rsidR="00376858" w:rsidRDefault="00376858" w:rsidP="00376858">
      <w:r>
        <w:rPr>
          <w:rStyle w:val="autonumber"/>
          <w:b/>
          <w:bCs/>
        </w:rPr>
        <w:t>Note</w:t>
      </w:r>
      <w:r>
        <w:rPr>
          <w:rStyle w:val="autonumber"/>
        </w:rPr>
        <w:t xml:space="preserve">: </w:t>
      </w:r>
      <w:r>
        <w:t xml:space="preserve">For detailed descriptions of the signals, see </w:t>
      </w:r>
      <w:hyperlink r:id="rId35" w:history="1">
        <w:r>
          <w:rPr>
            <w:rStyle w:val="Hyperlink"/>
          </w:rPr>
          <w:t>Industrial Communications Signals</w:t>
        </w:r>
      </w:hyperlink>
      <w:r>
        <w:t>.</w:t>
      </w:r>
    </w:p>
    <w:tbl>
      <w:tblPr>
        <w:tblW w:w="5071"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88"/>
        <w:gridCol w:w="498"/>
        <w:gridCol w:w="390"/>
        <w:gridCol w:w="1030"/>
        <w:gridCol w:w="1030"/>
        <w:gridCol w:w="1030"/>
        <w:gridCol w:w="1030"/>
        <w:gridCol w:w="1030"/>
        <w:gridCol w:w="1030"/>
        <w:gridCol w:w="1030"/>
        <w:gridCol w:w="1030"/>
      </w:tblGrid>
      <w:tr w:rsidR="00376858" w:rsidRPr="00376858" w:rsidTr="00376858">
        <w:trPr>
          <w:tblHeader/>
          <w:tblCellSpacing w:w="0" w:type="dxa"/>
        </w:trPr>
        <w:tc>
          <w:tcPr>
            <w:tcW w:w="0" w:type="auto"/>
            <w:vAlign w:val="center"/>
            <w:hideMark/>
          </w:tcPr>
          <w:p w:rsidR="00376858" w:rsidRPr="00376858" w:rsidRDefault="00376858">
            <w:pPr>
              <w:jc w:val="center"/>
              <w:rPr>
                <w:rFonts w:ascii="Calibri" w:hAnsi="Calibri" w:cs="Calibri"/>
                <w:b/>
                <w:bCs/>
                <w:sz w:val="18"/>
                <w:szCs w:val="18"/>
              </w:rPr>
            </w:pPr>
            <w:r w:rsidRPr="00376858">
              <w:rPr>
                <w:rFonts w:ascii="Calibri" w:hAnsi="Calibri" w:cs="Calibri"/>
                <w:b/>
                <w:bCs/>
                <w:sz w:val="18"/>
                <w:szCs w:val="18"/>
              </w:rPr>
              <w:t>Module</w:t>
            </w:r>
          </w:p>
        </w:tc>
        <w:tc>
          <w:tcPr>
            <w:tcW w:w="0" w:type="auto"/>
            <w:vAlign w:val="center"/>
            <w:hideMark/>
          </w:tcPr>
          <w:p w:rsidR="00376858" w:rsidRPr="00376858" w:rsidRDefault="00376858">
            <w:pPr>
              <w:jc w:val="center"/>
              <w:rPr>
                <w:rFonts w:ascii="Calibri" w:hAnsi="Calibri" w:cs="Calibri"/>
                <w:b/>
                <w:bCs/>
                <w:sz w:val="18"/>
                <w:szCs w:val="18"/>
              </w:rPr>
            </w:pPr>
            <w:r w:rsidRPr="00376858">
              <w:rPr>
                <w:rFonts w:ascii="Calibri" w:hAnsi="Calibri" w:cs="Calibri"/>
                <w:b/>
                <w:bCs/>
                <w:sz w:val="18"/>
                <w:szCs w:val="18"/>
              </w:rPr>
              <w:t>ID</w:t>
            </w:r>
          </w:p>
        </w:tc>
        <w:tc>
          <w:tcPr>
            <w:tcW w:w="263" w:type="pct"/>
            <w:vAlign w:val="center"/>
            <w:hideMark/>
          </w:tcPr>
          <w:p w:rsidR="00376858" w:rsidRPr="00376858" w:rsidRDefault="00376858">
            <w:pPr>
              <w:jc w:val="center"/>
              <w:rPr>
                <w:rFonts w:ascii="Calibri" w:hAnsi="Calibri" w:cs="Calibri"/>
                <w:b/>
                <w:bCs/>
                <w:sz w:val="18"/>
                <w:szCs w:val="18"/>
              </w:rPr>
            </w:pPr>
            <w:r w:rsidRPr="00376858">
              <w:rPr>
                <w:rFonts w:ascii="Calibri" w:hAnsi="Calibri" w:cs="Calibri"/>
                <w:b/>
                <w:bCs/>
                <w:sz w:val="18"/>
                <w:szCs w:val="18"/>
              </w:rPr>
              <w:t>Byte</w:t>
            </w:r>
          </w:p>
        </w:tc>
        <w:tc>
          <w:tcPr>
            <w:tcW w:w="0" w:type="auto"/>
            <w:vAlign w:val="center"/>
            <w:hideMark/>
          </w:tcPr>
          <w:p w:rsidR="00376858" w:rsidRPr="00376858" w:rsidRDefault="00376858">
            <w:pPr>
              <w:jc w:val="center"/>
              <w:rPr>
                <w:rFonts w:ascii="Calibri" w:hAnsi="Calibri" w:cs="Calibri"/>
                <w:b/>
                <w:bCs/>
                <w:sz w:val="18"/>
                <w:szCs w:val="18"/>
              </w:rPr>
            </w:pPr>
            <w:r w:rsidRPr="00376858">
              <w:rPr>
                <w:rFonts w:ascii="Calibri" w:hAnsi="Calibri" w:cs="Calibri"/>
                <w:b/>
                <w:bCs/>
                <w:sz w:val="18"/>
                <w:szCs w:val="18"/>
              </w:rPr>
              <w:t>Bit 7</w:t>
            </w:r>
          </w:p>
        </w:tc>
        <w:tc>
          <w:tcPr>
            <w:tcW w:w="0" w:type="auto"/>
            <w:vAlign w:val="center"/>
            <w:hideMark/>
          </w:tcPr>
          <w:p w:rsidR="00376858" w:rsidRPr="00376858" w:rsidRDefault="00376858">
            <w:pPr>
              <w:jc w:val="center"/>
              <w:rPr>
                <w:rFonts w:ascii="Calibri" w:hAnsi="Calibri" w:cs="Calibri"/>
                <w:b/>
                <w:bCs/>
                <w:sz w:val="18"/>
                <w:szCs w:val="18"/>
              </w:rPr>
            </w:pPr>
            <w:r w:rsidRPr="00376858">
              <w:rPr>
                <w:rFonts w:ascii="Calibri" w:hAnsi="Calibri" w:cs="Calibri"/>
                <w:b/>
                <w:bCs/>
                <w:sz w:val="18"/>
                <w:szCs w:val="18"/>
              </w:rPr>
              <w:t>Bit 6</w:t>
            </w:r>
          </w:p>
        </w:tc>
        <w:tc>
          <w:tcPr>
            <w:tcW w:w="0" w:type="auto"/>
            <w:vAlign w:val="center"/>
            <w:hideMark/>
          </w:tcPr>
          <w:p w:rsidR="00376858" w:rsidRPr="00376858" w:rsidRDefault="00376858">
            <w:pPr>
              <w:jc w:val="center"/>
              <w:rPr>
                <w:rFonts w:ascii="Calibri" w:hAnsi="Calibri" w:cs="Calibri"/>
                <w:b/>
                <w:bCs/>
                <w:sz w:val="18"/>
                <w:szCs w:val="18"/>
              </w:rPr>
            </w:pPr>
            <w:r w:rsidRPr="00376858">
              <w:rPr>
                <w:rFonts w:ascii="Calibri" w:hAnsi="Calibri" w:cs="Calibri"/>
                <w:b/>
                <w:bCs/>
                <w:sz w:val="18"/>
                <w:szCs w:val="18"/>
              </w:rPr>
              <w:t>Bit 5</w:t>
            </w:r>
          </w:p>
        </w:tc>
        <w:tc>
          <w:tcPr>
            <w:tcW w:w="0" w:type="auto"/>
            <w:vAlign w:val="center"/>
            <w:hideMark/>
          </w:tcPr>
          <w:p w:rsidR="00376858" w:rsidRPr="00376858" w:rsidRDefault="00376858">
            <w:pPr>
              <w:jc w:val="center"/>
              <w:rPr>
                <w:rFonts w:ascii="Calibri" w:hAnsi="Calibri" w:cs="Calibri"/>
                <w:b/>
                <w:bCs/>
                <w:sz w:val="18"/>
                <w:szCs w:val="18"/>
              </w:rPr>
            </w:pPr>
            <w:r w:rsidRPr="00376858">
              <w:rPr>
                <w:rFonts w:ascii="Calibri" w:hAnsi="Calibri" w:cs="Calibri"/>
                <w:b/>
                <w:bCs/>
                <w:sz w:val="18"/>
                <w:szCs w:val="18"/>
              </w:rPr>
              <w:t>Bit 4</w:t>
            </w:r>
          </w:p>
        </w:tc>
        <w:tc>
          <w:tcPr>
            <w:tcW w:w="0" w:type="auto"/>
            <w:vAlign w:val="center"/>
            <w:hideMark/>
          </w:tcPr>
          <w:p w:rsidR="00376858" w:rsidRPr="00376858" w:rsidRDefault="00376858">
            <w:pPr>
              <w:jc w:val="center"/>
              <w:rPr>
                <w:rFonts w:ascii="Calibri" w:hAnsi="Calibri" w:cs="Calibri"/>
                <w:b/>
                <w:bCs/>
                <w:sz w:val="18"/>
                <w:szCs w:val="18"/>
              </w:rPr>
            </w:pPr>
            <w:r w:rsidRPr="00376858">
              <w:rPr>
                <w:rFonts w:ascii="Calibri" w:hAnsi="Calibri" w:cs="Calibri"/>
                <w:b/>
                <w:bCs/>
                <w:sz w:val="18"/>
                <w:szCs w:val="18"/>
              </w:rPr>
              <w:t>Bit 3</w:t>
            </w:r>
          </w:p>
        </w:tc>
        <w:tc>
          <w:tcPr>
            <w:tcW w:w="0" w:type="auto"/>
            <w:vAlign w:val="center"/>
            <w:hideMark/>
          </w:tcPr>
          <w:p w:rsidR="00376858" w:rsidRPr="00376858" w:rsidRDefault="00376858">
            <w:pPr>
              <w:jc w:val="center"/>
              <w:rPr>
                <w:rFonts w:ascii="Calibri" w:hAnsi="Calibri" w:cs="Calibri"/>
                <w:b/>
                <w:bCs/>
                <w:sz w:val="18"/>
                <w:szCs w:val="18"/>
              </w:rPr>
            </w:pPr>
            <w:r w:rsidRPr="00376858">
              <w:rPr>
                <w:rFonts w:ascii="Calibri" w:hAnsi="Calibri" w:cs="Calibri"/>
                <w:b/>
                <w:bCs/>
                <w:sz w:val="18"/>
                <w:szCs w:val="18"/>
              </w:rPr>
              <w:t>Bit 2</w:t>
            </w:r>
          </w:p>
        </w:tc>
        <w:tc>
          <w:tcPr>
            <w:tcW w:w="0" w:type="auto"/>
            <w:vAlign w:val="center"/>
            <w:hideMark/>
          </w:tcPr>
          <w:p w:rsidR="00376858" w:rsidRPr="00376858" w:rsidRDefault="00376858">
            <w:pPr>
              <w:jc w:val="center"/>
              <w:rPr>
                <w:rFonts w:ascii="Calibri" w:hAnsi="Calibri" w:cs="Calibri"/>
                <w:b/>
                <w:bCs/>
                <w:sz w:val="18"/>
                <w:szCs w:val="18"/>
              </w:rPr>
            </w:pPr>
            <w:r w:rsidRPr="00376858">
              <w:rPr>
                <w:rFonts w:ascii="Calibri" w:hAnsi="Calibri" w:cs="Calibri"/>
                <w:b/>
                <w:bCs/>
                <w:sz w:val="18"/>
                <w:szCs w:val="18"/>
              </w:rPr>
              <w:t>Bit 1</w:t>
            </w:r>
          </w:p>
        </w:tc>
        <w:tc>
          <w:tcPr>
            <w:tcW w:w="0" w:type="auto"/>
            <w:vAlign w:val="center"/>
            <w:hideMark/>
          </w:tcPr>
          <w:p w:rsidR="00376858" w:rsidRPr="00376858" w:rsidRDefault="00376858">
            <w:pPr>
              <w:jc w:val="center"/>
              <w:rPr>
                <w:rFonts w:ascii="Calibri" w:hAnsi="Calibri" w:cs="Calibri"/>
                <w:b/>
                <w:bCs/>
                <w:sz w:val="18"/>
                <w:szCs w:val="18"/>
              </w:rPr>
            </w:pPr>
            <w:r w:rsidRPr="00376858">
              <w:rPr>
                <w:rFonts w:ascii="Calibri" w:hAnsi="Calibri" w:cs="Calibri"/>
                <w:b/>
                <w:bCs/>
                <w:sz w:val="18"/>
                <w:szCs w:val="18"/>
              </w:rPr>
              <w:t>Bit 0</w:t>
            </w:r>
          </w:p>
        </w:tc>
      </w:tr>
      <w:tr w:rsidR="00376858" w:rsidRPr="00376858" w:rsidTr="00376858">
        <w:trPr>
          <w:tblCellSpacing w:w="0" w:type="dxa"/>
        </w:trPr>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Acquisition Control</w:t>
            </w:r>
            <w:r w:rsidRPr="00376858">
              <w:rPr>
                <w:rFonts w:ascii="Calibri" w:hAnsi="Calibri" w:cs="Calibri"/>
                <w:sz w:val="18"/>
                <w:szCs w:val="18"/>
              </w:rPr>
              <w:t xml:space="preserve"> </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0x101</w:t>
            </w:r>
            <w:r w:rsidRPr="00376858">
              <w:rPr>
                <w:rFonts w:ascii="Calibri" w:hAnsi="Calibri" w:cs="Calibri"/>
                <w:sz w:val="18"/>
                <w:szCs w:val="18"/>
              </w:rPr>
              <w:t xml:space="preserve"> </w:t>
            </w:r>
          </w:p>
        </w:tc>
        <w:tc>
          <w:tcPr>
            <w:tcW w:w="263" w:type="pct"/>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0</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Set Paused</w:t>
            </w:r>
          </w:p>
        </w:tc>
        <w:tc>
          <w:tcPr>
            <w:tcW w:w="0" w:type="auto"/>
            <w:gridSpan w:val="4"/>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Reserved</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Clear Exposure Complete</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Trigger</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Trigger Enable</w:t>
            </w:r>
          </w:p>
        </w:tc>
      </w:tr>
      <w:tr w:rsidR="00376858" w:rsidRPr="00376858" w:rsidTr="00376858">
        <w:trPr>
          <w:tblCellSpacing w:w="0" w:type="dxa"/>
        </w:trPr>
        <w:tc>
          <w:tcPr>
            <w:tcW w:w="5000" w:type="pct"/>
            <w:gridSpan w:val="11"/>
            <w:vAlign w:val="center"/>
            <w:hideMark/>
          </w:tcPr>
          <w:p w:rsidR="00376858" w:rsidRPr="00376858" w:rsidRDefault="00376858">
            <w:pPr>
              <w:rPr>
                <w:rFonts w:ascii="Calibri" w:hAnsi="Calibri" w:cs="Calibri"/>
                <w:sz w:val="18"/>
                <w:szCs w:val="18"/>
              </w:rPr>
            </w:pPr>
            <w:r w:rsidRPr="00376858">
              <w:rPr>
                <w:rFonts w:ascii="Calibri" w:hAnsi="Calibri" w:cs="Calibri"/>
                <w:sz w:val="18"/>
                <w:szCs w:val="18"/>
              </w:rPr>
              <w:t> </w:t>
            </w:r>
          </w:p>
        </w:tc>
      </w:tr>
      <w:tr w:rsidR="00376858" w:rsidRPr="00376858" w:rsidTr="00376858">
        <w:trPr>
          <w:tblCellSpacing w:w="0" w:type="dxa"/>
        </w:trPr>
        <w:tc>
          <w:tcPr>
            <w:tcW w:w="0" w:type="auto"/>
            <w:vMerge w:val="restart"/>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Acquisition Status</w:t>
            </w:r>
            <w:r w:rsidRPr="00376858">
              <w:rPr>
                <w:rFonts w:ascii="Calibri" w:hAnsi="Calibri" w:cs="Calibri"/>
                <w:sz w:val="18"/>
                <w:szCs w:val="18"/>
              </w:rPr>
              <w:t xml:space="preserve"> </w:t>
            </w:r>
          </w:p>
        </w:tc>
        <w:tc>
          <w:tcPr>
            <w:tcW w:w="0" w:type="auto"/>
            <w:vMerge w:val="restart"/>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0x201</w:t>
            </w:r>
            <w:r w:rsidRPr="00376858">
              <w:rPr>
                <w:rFonts w:ascii="Calibri" w:hAnsi="Calibri" w:cs="Calibri"/>
                <w:sz w:val="18"/>
                <w:szCs w:val="18"/>
              </w:rPr>
              <w:t xml:space="preserve"> </w:t>
            </w:r>
          </w:p>
        </w:tc>
        <w:tc>
          <w:tcPr>
            <w:tcW w:w="263" w:type="pct"/>
            <w:vAlign w:val="center"/>
            <w:hideMark/>
          </w:tcPr>
          <w:p w:rsidR="00376858" w:rsidRPr="00376858" w:rsidRDefault="00376858">
            <w:pPr>
              <w:rPr>
                <w:rFonts w:ascii="Calibri" w:hAnsi="Calibri" w:cs="Calibri"/>
                <w:sz w:val="18"/>
                <w:szCs w:val="18"/>
              </w:rPr>
            </w:pPr>
            <w:r w:rsidRPr="00376858">
              <w:rPr>
                <w:rFonts w:ascii="Calibri" w:hAnsi="Calibri" w:cs="Calibri"/>
                <w:sz w:val="18"/>
                <w:szCs w:val="18"/>
              </w:rPr>
              <w:t>0</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Online</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Paused</w:t>
            </w:r>
          </w:p>
        </w:tc>
        <w:tc>
          <w:tcPr>
            <w:tcW w:w="0" w:type="auto"/>
            <w:gridSpan w:val="2"/>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Reserved</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Acquisition Error</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Exposure Complete</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Trigger Acknowledge</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Trigger Ready</w:t>
            </w:r>
          </w:p>
        </w:tc>
      </w:tr>
      <w:tr w:rsidR="00376858" w:rsidRPr="00376858" w:rsidTr="00376858">
        <w:trPr>
          <w:tblCellSpacing w:w="0" w:type="dxa"/>
        </w:trPr>
        <w:tc>
          <w:tcPr>
            <w:tcW w:w="0" w:type="auto"/>
            <w:vMerge/>
            <w:vAlign w:val="center"/>
            <w:hideMark/>
          </w:tcPr>
          <w:p w:rsidR="00376858" w:rsidRPr="00376858" w:rsidRDefault="00376858">
            <w:pPr>
              <w:rPr>
                <w:rFonts w:ascii="Calibri" w:hAnsi="Calibri" w:cs="Calibri"/>
                <w:sz w:val="18"/>
                <w:szCs w:val="18"/>
              </w:rPr>
            </w:pPr>
          </w:p>
        </w:tc>
        <w:tc>
          <w:tcPr>
            <w:tcW w:w="0" w:type="auto"/>
            <w:vMerge/>
            <w:vAlign w:val="center"/>
            <w:hideMark/>
          </w:tcPr>
          <w:p w:rsidR="00376858" w:rsidRPr="00376858" w:rsidRDefault="00376858">
            <w:pPr>
              <w:rPr>
                <w:rFonts w:ascii="Calibri" w:hAnsi="Calibri" w:cs="Calibri"/>
                <w:sz w:val="18"/>
                <w:szCs w:val="18"/>
              </w:rPr>
            </w:pPr>
          </w:p>
        </w:tc>
        <w:tc>
          <w:tcPr>
            <w:tcW w:w="263" w:type="pct"/>
            <w:vAlign w:val="center"/>
            <w:hideMark/>
          </w:tcPr>
          <w:p w:rsidR="00376858" w:rsidRPr="00376858" w:rsidRDefault="00376858">
            <w:pPr>
              <w:rPr>
                <w:rFonts w:ascii="Calibri" w:hAnsi="Calibri" w:cs="Calibri"/>
                <w:sz w:val="18"/>
                <w:szCs w:val="18"/>
              </w:rPr>
            </w:pPr>
            <w:proofErr w:type="gramStart"/>
            <w:r w:rsidRPr="00376858">
              <w:rPr>
                <w:rFonts w:ascii="Calibri" w:hAnsi="Calibri" w:cs="Calibri"/>
                <w:sz w:val="18"/>
                <w:szCs w:val="18"/>
              </w:rPr>
              <w:t>1 ..</w:t>
            </w:r>
            <w:proofErr w:type="gramEnd"/>
            <w:r w:rsidRPr="00376858">
              <w:rPr>
                <w:rFonts w:ascii="Calibri" w:hAnsi="Calibri" w:cs="Calibri"/>
                <w:sz w:val="18"/>
                <w:szCs w:val="18"/>
              </w:rPr>
              <w:t xml:space="preserve"> 2</w:t>
            </w:r>
          </w:p>
        </w:tc>
        <w:tc>
          <w:tcPr>
            <w:tcW w:w="0" w:type="auto"/>
            <w:gridSpan w:val="8"/>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Acquisition ID</w:t>
            </w:r>
          </w:p>
        </w:tc>
      </w:tr>
      <w:tr w:rsidR="00376858" w:rsidRPr="00376858" w:rsidTr="00376858">
        <w:trPr>
          <w:tblCellSpacing w:w="0" w:type="dxa"/>
        </w:trPr>
        <w:tc>
          <w:tcPr>
            <w:tcW w:w="5000" w:type="pct"/>
            <w:gridSpan w:val="11"/>
            <w:vAlign w:val="center"/>
            <w:hideMark/>
          </w:tcPr>
          <w:p w:rsidR="00376858" w:rsidRPr="00376858" w:rsidRDefault="00376858">
            <w:pPr>
              <w:rPr>
                <w:rFonts w:ascii="Calibri" w:hAnsi="Calibri" w:cs="Calibri"/>
                <w:sz w:val="18"/>
                <w:szCs w:val="18"/>
              </w:rPr>
            </w:pPr>
            <w:r w:rsidRPr="00376858">
              <w:rPr>
                <w:rFonts w:ascii="Calibri" w:hAnsi="Calibri" w:cs="Calibri"/>
                <w:sz w:val="18"/>
                <w:szCs w:val="18"/>
              </w:rPr>
              <w:t> </w:t>
            </w:r>
          </w:p>
        </w:tc>
      </w:tr>
      <w:tr w:rsidR="00376858" w:rsidRPr="00376858" w:rsidTr="00376858">
        <w:trPr>
          <w:tblCellSpacing w:w="0" w:type="dxa"/>
        </w:trPr>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Inspection Control</w:t>
            </w:r>
            <w:r w:rsidRPr="00376858">
              <w:rPr>
                <w:rFonts w:ascii="Calibri" w:hAnsi="Calibri" w:cs="Calibri"/>
                <w:sz w:val="18"/>
                <w:szCs w:val="18"/>
              </w:rPr>
              <w:t xml:space="preserve"> </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0x102</w:t>
            </w:r>
            <w:r w:rsidRPr="00376858">
              <w:rPr>
                <w:rFonts w:ascii="Calibri" w:hAnsi="Calibri" w:cs="Calibri"/>
                <w:sz w:val="18"/>
                <w:szCs w:val="18"/>
              </w:rPr>
              <w:t xml:space="preserve"> </w:t>
            </w:r>
          </w:p>
        </w:tc>
        <w:tc>
          <w:tcPr>
            <w:tcW w:w="263" w:type="pct"/>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0</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Clear Error</w:t>
            </w:r>
          </w:p>
        </w:tc>
        <w:tc>
          <w:tcPr>
            <w:tcW w:w="0" w:type="auto"/>
            <w:gridSpan w:val="3"/>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Reserved</w:t>
            </w:r>
          </w:p>
        </w:tc>
        <w:tc>
          <w:tcPr>
            <w:tcW w:w="0" w:type="auto"/>
            <w:vAlign w:val="center"/>
            <w:hideMark/>
          </w:tcPr>
          <w:p w:rsidR="00376858" w:rsidRPr="00376858" w:rsidRDefault="00376858">
            <w:pPr>
              <w:rPr>
                <w:rFonts w:ascii="Calibri" w:hAnsi="Calibri" w:cs="Calibri"/>
                <w:sz w:val="18"/>
                <w:szCs w:val="18"/>
              </w:rPr>
            </w:pPr>
            <w:r w:rsidRPr="00376858">
              <w:rPr>
                <w:rFonts w:ascii="Calibri" w:hAnsi="Calibri" w:cs="Calibri"/>
                <w:sz w:val="18"/>
                <w:szCs w:val="18"/>
              </w:rPr>
              <w:t>Execute Command</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Set User Data</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Inspection Results Acknowledge</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Buffer Results Enable</w:t>
            </w:r>
          </w:p>
        </w:tc>
      </w:tr>
      <w:tr w:rsidR="00376858" w:rsidRPr="00376858" w:rsidTr="00376858">
        <w:trPr>
          <w:tblCellSpacing w:w="0" w:type="dxa"/>
        </w:trPr>
        <w:tc>
          <w:tcPr>
            <w:tcW w:w="5000" w:type="pct"/>
            <w:gridSpan w:val="11"/>
            <w:vAlign w:val="center"/>
            <w:hideMark/>
          </w:tcPr>
          <w:p w:rsidR="00376858" w:rsidRPr="00376858" w:rsidRDefault="00376858">
            <w:pPr>
              <w:rPr>
                <w:rFonts w:ascii="Calibri" w:hAnsi="Calibri" w:cs="Calibri"/>
                <w:sz w:val="18"/>
                <w:szCs w:val="18"/>
              </w:rPr>
            </w:pPr>
            <w:r w:rsidRPr="00376858">
              <w:rPr>
                <w:rFonts w:ascii="Calibri" w:hAnsi="Calibri" w:cs="Calibri"/>
                <w:sz w:val="18"/>
                <w:szCs w:val="18"/>
              </w:rPr>
              <w:t> </w:t>
            </w:r>
          </w:p>
        </w:tc>
      </w:tr>
      <w:tr w:rsidR="00376858" w:rsidRPr="00376858" w:rsidTr="00376858">
        <w:trPr>
          <w:tblCellSpacing w:w="0" w:type="dxa"/>
        </w:trPr>
        <w:tc>
          <w:tcPr>
            <w:tcW w:w="0" w:type="auto"/>
            <w:vMerge w:val="restart"/>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Inspection Status</w:t>
            </w:r>
            <w:r w:rsidRPr="00376858">
              <w:rPr>
                <w:rFonts w:ascii="Calibri" w:hAnsi="Calibri" w:cs="Calibri"/>
                <w:sz w:val="18"/>
                <w:szCs w:val="18"/>
              </w:rPr>
              <w:t xml:space="preserve"> </w:t>
            </w:r>
          </w:p>
        </w:tc>
        <w:tc>
          <w:tcPr>
            <w:tcW w:w="0" w:type="auto"/>
            <w:vMerge w:val="restart"/>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0x203</w:t>
            </w:r>
            <w:r w:rsidRPr="00376858">
              <w:rPr>
                <w:rFonts w:ascii="Calibri" w:hAnsi="Calibri" w:cs="Calibri"/>
                <w:sz w:val="18"/>
                <w:szCs w:val="18"/>
              </w:rPr>
              <w:t xml:space="preserve"> </w:t>
            </w:r>
          </w:p>
        </w:tc>
        <w:tc>
          <w:tcPr>
            <w:tcW w:w="263" w:type="pct"/>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0</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Set User Data Acknowledge</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Command Failed</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Command Completed</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Command Executing</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Results Valid</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Results Buffer Overrun</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Inspection Completed</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System Ready</w:t>
            </w:r>
          </w:p>
        </w:tc>
      </w:tr>
      <w:tr w:rsidR="00376858" w:rsidRPr="00376858" w:rsidTr="00376858">
        <w:trPr>
          <w:tblCellSpacing w:w="0" w:type="dxa"/>
        </w:trPr>
        <w:tc>
          <w:tcPr>
            <w:tcW w:w="0" w:type="auto"/>
            <w:vMerge/>
            <w:vAlign w:val="center"/>
            <w:hideMark/>
          </w:tcPr>
          <w:p w:rsidR="00376858" w:rsidRPr="00376858" w:rsidRDefault="00376858">
            <w:pPr>
              <w:rPr>
                <w:rFonts w:ascii="Calibri" w:hAnsi="Calibri" w:cs="Calibri"/>
                <w:sz w:val="18"/>
                <w:szCs w:val="18"/>
              </w:rPr>
            </w:pPr>
          </w:p>
        </w:tc>
        <w:tc>
          <w:tcPr>
            <w:tcW w:w="0" w:type="auto"/>
            <w:vMerge/>
            <w:vAlign w:val="center"/>
            <w:hideMark/>
          </w:tcPr>
          <w:p w:rsidR="00376858" w:rsidRPr="00376858" w:rsidRDefault="00376858">
            <w:pPr>
              <w:rPr>
                <w:rFonts w:ascii="Calibri" w:hAnsi="Calibri" w:cs="Calibri"/>
                <w:sz w:val="18"/>
                <w:szCs w:val="18"/>
              </w:rPr>
            </w:pPr>
          </w:p>
        </w:tc>
        <w:tc>
          <w:tcPr>
            <w:tcW w:w="263" w:type="pct"/>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1</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Error</w:t>
            </w:r>
          </w:p>
        </w:tc>
        <w:tc>
          <w:tcPr>
            <w:tcW w:w="0" w:type="auto"/>
            <w:gridSpan w:val="6"/>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Reserved</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Results Passed</w:t>
            </w:r>
          </w:p>
        </w:tc>
      </w:tr>
      <w:tr w:rsidR="00376858" w:rsidRPr="00376858" w:rsidTr="00376858">
        <w:trPr>
          <w:tblCellSpacing w:w="0" w:type="dxa"/>
        </w:trPr>
        <w:tc>
          <w:tcPr>
            <w:tcW w:w="0" w:type="auto"/>
            <w:vMerge/>
            <w:vAlign w:val="center"/>
            <w:hideMark/>
          </w:tcPr>
          <w:p w:rsidR="00376858" w:rsidRPr="00376858" w:rsidRDefault="00376858">
            <w:pPr>
              <w:rPr>
                <w:rFonts w:ascii="Calibri" w:hAnsi="Calibri" w:cs="Calibri"/>
                <w:sz w:val="18"/>
                <w:szCs w:val="18"/>
              </w:rPr>
            </w:pPr>
          </w:p>
        </w:tc>
        <w:tc>
          <w:tcPr>
            <w:tcW w:w="0" w:type="auto"/>
            <w:vMerge/>
            <w:vAlign w:val="center"/>
            <w:hideMark/>
          </w:tcPr>
          <w:p w:rsidR="00376858" w:rsidRPr="00376858" w:rsidRDefault="00376858">
            <w:pPr>
              <w:rPr>
                <w:rFonts w:ascii="Calibri" w:hAnsi="Calibri" w:cs="Calibri"/>
                <w:sz w:val="18"/>
                <w:szCs w:val="18"/>
              </w:rPr>
            </w:pPr>
          </w:p>
        </w:tc>
        <w:tc>
          <w:tcPr>
            <w:tcW w:w="263" w:type="pct"/>
            <w:vAlign w:val="center"/>
            <w:hideMark/>
          </w:tcPr>
          <w:p w:rsidR="00376858" w:rsidRPr="00376858" w:rsidRDefault="00376858">
            <w:pPr>
              <w:rPr>
                <w:rFonts w:ascii="Calibri" w:hAnsi="Calibri" w:cs="Calibri"/>
                <w:sz w:val="18"/>
                <w:szCs w:val="18"/>
              </w:rPr>
            </w:pPr>
            <w:proofErr w:type="gramStart"/>
            <w:r w:rsidRPr="00376858">
              <w:rPr>
                <w:rFonts w:ascii="Calibri" w:hAnsi="Calibri" w:cs="Calibri"/>
                <w:sz w:val="18"/>
                <w:szCs w:val="18"/>
              </w:rPr>
              <w:t>2 ..</w:t>
            </w:r>
            <w:proofErr w:type="gramEnd"/>
            <w:r w:rsidRPr="00376858">
              <w:rPr>
                <w:rFonts w:ascii="Calibri" w:hAnsi="Calibri" w:cs="Calibri"/>
                <w:sz w:val="18"/>
                <w:szCs w:val="18"/>
              </w:rPr>
              <w:t xml:space="preserve"> 3</w:t>
            </w:r>
          </w:p>
        </w:tc>
        <w:tc>
          <w:tcPr>
            <w:tcW w:w="0" w:type="auto"/>
            <w:gridSpan w:val="8"/>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Error ID</w:t>
            </w:r>
          </w:p>
        </w:tc>
      </w:tr>
      <w:tr w:rsidR="00376858" w:rsidRPr="00376858" w:rsidTr="00376858">
        <w:trPr>
          <w:tblCellSpacing w:w="0" w:type="dxa"/>
        </w:trPr>
        <w:tc>
          <w:tcPr>
            <w:tcW w:w="5000" w:type="pct"/>
            <w:gridSpan w:val="11"/>
            <w:vAlign w:val="center"/>
            <w:hideMark/>
          </w:tcPr>
          <w:p w:rsidR="00376858" w:rsidRPr="00376858" w:rsidRDefault="00376858">
            <w:pPr>
              <w:rPr>
                <w:rFonts w:ascii="Calibri" w:hAnsi="Calibri" w:cs="Calibri"/>
                <w:sz w:val="18"/>
                <w:szCs w:val="18"/>
              </w:rPr>
            </w:pPr>
            <w:r w:rsidRPr="00376858">
              <w:rPr>
                <w:rFonts w:ascii="Calibri" w:hAnsi="Calibri" w:cs="Calibri"/>
                <w:sz w:val="18"/>
                <w:szCs w:val="18"/>
              </w:rPr>
              <w:t> </w:t>
            </w:r>
          </w:p>
        </w:tc>
      </w:tr>
      <w:tr w:rsidR="00376858" w:rsidRPr="00376858" w:rsidTr="00376858">
        <w:trPr>
          <w:tblCellSpacing w:w="0" w:type="dxa"/>
        </w:trPr>
        <w:tc>
          <w:tcPr>
            <w:tcW w:w="0" w:type="auto"/>
            <w:vAlign w:val="center"/>
            <w:hideMark/>
          </w:tcPr>
          <w:p w:rsidR="00376858" w:rsidRPr="00376858" w:rsidRDefault="00376858">
            <w:pPr>
              <w:rPr>
                <w:rFonts w:ascii="Calibri" w:hAnsi="Calibri" w:cs="Calibri"/>
                <w:sz w:val="18"/>
                <w:szCs w:val="18"/>
              </w:rPr>
            </w:pPr>
            <w:r w:rsidRPr="00376858">
              <w:rPr>
                <w:rFonts w:ascii="Calibri" w:hAnsi="Calibri" w:cs="Calibri"/>
                <w:b/>
                <w:bCs/>
                <w:sz w:val="18"/>
                <w:szCs w:val="18"/>
              </w:rPr>
              <w:t>Command Control Input</w:t>
            </w:r>
            <w:r w:rsidRPr="00376858">
              <w:rPr>
                <w:rFonts w:ascii="Calibri" w:hAnsi="Calibri" w:cs="Calibri"/>
                <w:sz w:val="18"/>
                <w:szCs w:val="18"/>
              </w:rPr>
              <w:t xml:space="preserve"> </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0x108</w:t>
            </w:r>
            <w:r w:rsidRPr="00376858">
              <w:rPr>
                <w:rFonts w:ascii="Calibri" w:hAnsi="Calibri" w:cs="Calibri"/>
                <w:sz w:val="18"/>
                <w:szCs w:val="18"/>
              </w:rPr>
              <w:t xml:space="preserve"> </w:t>
            </w:r>
          </w:p>
        </w:tc>
        <w:tc>
          <w:tcPr>
            <w:tcW w:w="263" w:type="pct"/>
            <w:vAlign w:val="center"/>
            <w:hideMark/>
          </w:tcPr>
          <w:p w:rsidR="00376858" w:rsidRPr="00376858" w:rsidRDefault="00376858">
            <w:pPr>
              <w:pStyle w:val="NormalWeb"/>
              <w:rPr>
                <w:rFonts w:ascii="Calibri" w:hAnsi="Calibri" w:cs="Calibri"/>
                <w:sz w:val="18"/>
                <w:szCs w:val="18"/>
              </w:rPr>
            </w:pPr>
            <w:proofErr w:type="gramStart"/>
            <w:r w:rsidRPr="00376858">
              <w:rPr>
                <w:rFonts w:ascii="Calibri" w:hAnsi="Calibri" w:cs="Calibri"/>
                <w:sz w:val="18"/>
                <w:szCs w:val="18"/>
              </w:rPr>
              <w:t>0 ..</w:t>
            </w:r>
            <w:proofErr w:type="gramEnd"/>
            <w:r w:rsidRPr="00376858">
              <w:rPr>
                <w:rFonts w:ascii="Calibri" w:hAnsi="Calibri" w:cs="Calibri"/>
                <w:sz w:val="18"/>
                <w:szCs w:val="18"/>
              </w:rPr>
              <w:t xml:space="preserve"> 1</w:t>
            </w:r>
          </w:p>
        </w:tc>
        <w:tc>
          <w:tcPr>
            <w:tcW w:w="0" w:type="auto"/>
            <w:gridSpan w:val="8"/>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Command ID (16-bit)</w:t>
            </w:r>
          </w:p>
        </w:tc>
      </w:tr>
      <w:tr w:rsidR="00376858" w:rsidRPr="00376858" w:rsidTr="00376858">
        <w:trPr>
          <w:tblCellSpacing w:w="0" w:type="dxa"/>
        </w:trPr>
        <w:tc>
          <w:tcPr>
            <w:tcW w:w="5000" w:type="pct"/>
            <w:gridSpan w:val="11"/>
            <w:vAlign w:val="center"/>
            <w:hideMark/>
          </w:tcPr>
          <w:p w:rsidR="00376858" w:rsidRPr="00376858" w:rsidRDefault="00376858">
            <w:pPr>
              <w:rPr>
                <w:rFonts w:ascii="Calibri" w:hAnsi="Calibri" w:cs="Calibri"/>
                <w:sz w:val="18"/>
                <w:szCs w:val="18"/>
              </w:rPr>
            </w:pPr>
            <w:r w:rsidRPr="00376858">
              <w:rPr>
                <w:rFonts w:ascii="Calibri" w:hAnsi="Calibri" w:cs="Calibri"/>
                <w:sz w:val="18"/>
                <w:szCs w:val="18"/>
              </w:rPr>
              <w:t> </w:t>
            </w:r>
          </w:p>
        </w:tc>
      </w:tr>
      <w:tr w:rsidR="00376858" w:rsidRPr="00376858" w:rsidTr="00376858">
        <w:trPr>
          <w:tblCellSpacing w:w="0" w:type="dxa"/>
        </w:trPr>
        <w:tc>
          <w:tcPr>
            <w:tcW w:w="0" w:type="auto"/>
            <w:vMerge w:val="restart"/>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Command Control Output</w:t>
            </w:r>
            <w:r w:rsidRPr="00376858">
              <w:rPr>
                <w:rFonts w:ascii="Calibri" w:hAnsi="Calibri" w:cs="Calibri"/>
                <w:sz w:val="18"/>
                <w:szCs w:val="18"/>
              </w:rPr>
              <w:t xml:space="preserve"> </w:t>
            </w:r>
          </w:p>
        </w:tc>
        <w:tc>
          <w:tcPr>
            <w:tcW w:w="0" w:type="auto"/>
            <w:vMerge w:val="restart"/>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0x108</w:t>
            </w:r>
            <w:r w:rsidRPr="00376858">
              <w:rPr>
                <w:rFonts w:ascii="Calibri" w:hAnsi="Calibri" w:cs="Calibri"/>
                <w:sz w:val="18"/>
                <w:szCs w:val="18"/>
              </w:rPr>
              <w:t xml:space="preserve"> </w:t>
            </w:r>
          </w:p>
        </w:tc>
        <w:tc>
          <w:tcPr>
            <w:tcW w:w="263" w:type="pct"/>
            <w:vAlign w:val="center"/>
            <w:hideMark/>
          </w:tcPr>
          <w:p w:rsidR="00376858" w:rsidRPr="00376858" w:rsidRDefault="00376858">
            <w:pPr>
              <w:pStyle w:val="NormalWeb"/>
              <w:rPr>
                <w:rFonts w:ascii="Calibri" w:hAnsi="Calibri" w:cs="Calibri"/>
                <w:sz w:val="18"/>
                <w:szCs w:val="18"/>
              </w:rPr>
            </w:pPr>
            <w:proofErr w:type="gramStart"/>
            <w:r w:rsidRPr="00376858">
              <w:rPr>
                <w:rFonts w:ascii="Calibri" w:hAnsi="Calibri" w:cs="Calibri"/>
                <w:sz w:val="18"/>
                <w:szCs w:val="18"/>
              </w:rPr>
              <w:t>0 ..</w:t>
            </w:r>
            <w:proofErr w:type="gramEnd"/>
            <w:r w:rsidRPr="00376858">
              <w:rPr>
                <w:rFonts w:ascii="Calibri" w:hAnsi="Calibri" w:cs="Calibri"/>
                <w:sz w:val="18"/>
                <w:szCs w:val="18"/>
              </w:rPr>
              <w:t xml:space="preserve"> 1</w:t>
            </w:r>
          </w:p>
        </w:tc>
        <w:tc>
          <w:tcPr>
            <w:tcW w:w="0" w:type="auto"/>
            <w:gridSpan w:val="8"/>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Command Result Code (16-bit)</w:t>
            </w:r>
          </w:p>
        </w:tc>
      </w:tr>
      <w:tr w:rsidR="00376858" w:rsidRPr="00376858" w:rsidTr="00376858">
        <w:trPr>
          <w:tblCellSpacing w:w="0" w:type="dxa"/>
        </w:trPr>
        <w:tc>
          <w:tcPr>
            <w:tcW w:w="0" w:type="auto"/>
            <w:vMerge/>
            <w:vAlign w:val="center"/>
            <w:hideMark/>
          </w:tcPr>
          <w:p w:rsidR="00376858" w:rsidRPr="00376858" w:rsidRDefault="00376858">
            <w:pPr>
              <w:rPr>
                <w:rFonts w:ascii="Calibri" w:hAnsi="Calibri" w:cs="Calibri"/>
                <w:sz w:val="18"/>
                <w:szCs w:val="18"/>
              </w:rPr>
            </w:pPr>
          </w:p>
        </w:tc>
        <w:tc>
          <w:tcPr>
            <w:tcW w:w="0" w:type="auto"/>
            <w:vMerge/>
            <w:vAlign w:val="center"/>
            <w:hideMark/>
          </w:tcPr>
          <w:p w:rsidR="00376858" w:rsidRPr="00376858" w:rsidRDefault="00376858">
            <w:pPr>
              <w:rPr>
                <w:rFonts w:ascii="Calibri" w:hAnsi="Calibri" w:cs="Calibri"/>
                <w:sz w:val="18"/>
                <w:szCs w:val="18"/>
              </w:rPr>
            </w:pPr>
          </w:p>
        </w:tc>
        <w:tc>
          <w:tcPr>
            <w:tcW w:w="263" w:type="pct"/>
            <w:vAlign w:val="center"/>
            <w:hideMark/>
          </w:tcPr>
          <w:p w:rsidR="00376858" w:rsidRPr="00376858" w:rsidRDefault="00376858">
            <w:pPr>
              <w:pStyle w:val="NormalWeb"/>
              <w:rPr>
                <w:rFonts w:ascii="Calibri" w:hAnsi="Calibri" w:cs="Calibri"/>
                <w:sz w:val="18"/>
                <w:szCs w:val="18"/>
              </w:rPr>
            </w:pPr>
            <w:proofErr w:type="gramStart"/>
            <w:r w:rsidRPr="00376858">
              <w:rPr>
                <w:rFonts w:ascii="Calibri" w:hAnsi="Calibri" w:cs="Calibri"/>
                <w:sz w:val="18"/>
                <w:szCs w:val="18"/>
              </w:rPr>
              <w:t>2 ..</w:t>
            </w:r>
            <w:proofErr w:type="gramEnd"/>
            <w:r w:rsidRPr="00376858">
              <w:rPr>
                <w:rFonts w:ascii="Calibri" w:hAnsi="Calibri" w:cs="Calibri"/>
                <w:sz w:val="18"/>
                <w:szCs w:val="18"/>
              </w:rPr>
              <w:t xml:space="preserve"> 3</w:t>
            </w:r>
          </w:p>
        </w:tc>
        <w:tc>
          <w:tcPr>
            <w:tcW w:w="0" w:type="auto"/>
            <w:gridSpan w:val="8"/>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Reserved (16-bit)</w:t>
            </w:r>
          </w:p>
        </w:tc>
      </w:tr>
      <w:tr w:rsidR="00376858" w:rsidRPr="00376858" w:rsidTr="00376858">
        <w:trPr>
          <w:tblCellSpacing w:w="0" w:type="dxa"/>
        </w:trPr>
        <w:tc>
          <w:tcPr>
            <w:tcW w:w="5000" w:type="pct"/>
            <w:gridSpan w:val="11"/>
            <w:vAlign w:val="center"/>
            <w:hideMark/>
          </w:tcPr>
          <w:p w:rsidR="00376858" w:rsidRPr="00376858" w:rsidRDefault="00376858">
            <w:pPr>
              <w:rPr>
                <w:rFonts w:ascii="Calibri" w:hAnsi="Calibri" w:cs="Calibri"/>
                <w:sz w:val="18"/>
                <w:szCs w:val="18"/>
              </w:rPr>
            </w:pPr>
            <w:r w:rsidRPr="00376858">
              <w:rPr>
                <w:rFonts w:ascii="Calibri" w:hAnsi="Calibri" w:cs="Calibri"/>
                <w:sz w:val="18"/>
                <w:szCs w:val="18"/>
              </w:rPr>
              <w:t> </w:t>
            </w:r>
          </w:p>
        </w:tc>
      </w:tr>
      <w:tr w:rsidR="00376858" w:rsidRPr="00376858" w:rsidTr="00376858">
        <w:trPr>
          <w:tblCellSpacing w:w="0" w:type="dxa"/>
        </w:trPr>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External Event Control Input</w:t>
            </w:r>
            <w:r w:rsidRPr="00376858">
              <w:rPr>
                <w:rFonts w:ascii="Calibri" w:hAnsi="Calibri" w:cs="Calibri"/>
                <w:sz w:val="18"/>
                <w:szCs w:val="18"/>
              </w:rPr>
              <w:t xml:space="preserve"> </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0x106</w:t>
            </w:r>
            <w:r w:rsidRPr="00376858">
              <w:rPr>
                <w:rFonts w:ascii="Calibri" w:hAnsi="Calibri" w:cs="Calibri"/>
                <w:sz w:val="18"/>
                <w:szCs w:val="18"/>
              </w:rPr>
              <w:t xml:space="preserve"> </w:t>
            </w:r>
          </w:p>
        </w:tc>
        <w:tc>
          <w:tcPr>
            <w:tcW w:w="263" w:type="pct"/>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0</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External Event 7</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External Event 6</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External Event 5</w:t>
            </w:r>
          </w:p>
        </w:tc>
        <w:tc>
          <w:tcPr>
            <w:tcW w:w="0" w:type="auto"/>
            <w:vAlign w:val="center"/>
            <w:hideMark/>
          </w:tcPr>
          <w:p w:rsidR="00376858" w:rsidRPr="00376858" w:rsidRDefault="00376858">
            <w:pPr>
              <w:rPr>
                <w:rFonts w:ascii="Calibri" w:hAnsi="Calibri" w:cs="Calibri"/>
                <w:sz w:val="18"/>
                <w:szCs w:val="18"/>
              </w:rPr>
            </w:pPr>
            <w:r w:rsidRPr="00376858">
              <w:rPr>
                <w:rFonts w:ascii="Calibri" w:hAnsi="Calibri" w:cs="Calibri"/>
                <w:sz w:val="18"/>
                <w:szCs w:val="18"/>
              </w:rPr>
              <w:t>External Event 4</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External Event 3</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External Event 2</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External Event 1</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External Event 0</w:t>
            </w:r>
          </w:p>
        </w:tc>
      </w:tr>
      <w:tr w:rsidR="00376858" w:rsidRPr="00376858" w:rsidTr="00376858">
        <w:trPr>
          <w:tblCellSpacing w:w="0" w:type="dxa"/>
        </w:trPr>
        <w:tc>
          <w:tcPr>
            <w:tcW w:w="5000" w:type="pct"/>
            <w:gridSpan w:val="11"/>
            <w:vAlign w:val="center"/>
            <w:hideMark/>
          </w:tcPr>
          <w:p w:rsidR="00376858" w:rsidRPr="00376858" w:rsidRDefault="00376858">
            <w:pPr>
              <w:rPr>
                <w:rFonts w:ascii="Calibri" w:hAnsi="Calibri" w:cs="Calibri"/>
                <w:sz w:val="18"/>
                <w:szCs w:val="18"/>
              </w:rPr>
            </w:pPr>
            <w:r w:rsidRPr="00376858">
              <w:rPr>
                <w:rFonts w:ascii="Calibri" w:hAnsi="Calibri" w:cs="Calibri"/>
                <w:sz w:val="18"/>
                <w:szCs w:val="18"/>
              </w:rPr>
              <w:lastRenderedPageBreak/>
              <w:t> </w:t>
            </w:r>
          </w:p>
        </w:tc>
      </w:tr>
      <w:tr w:rsidR="00376858" w:rsidRPr="00376858" w:rsidTr="00376858">
        <w:trPr>
          <w:tblCellSpacing w:w="0" w:type="dxa"/>
        </w:trPr>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External Event Control Output</w:t>
            </w:r>
            <w:r w:rsidRPr="00376858">
              <w:rPr>
                <w:rFonts w:ascii="Calibri" w:hAnsi="Calibri" w:cs="Calibri"/>
                <w:sz w:val="18"/>
                <w:szCs w:val="18"/>
              </w:rPr>
              <w:t xml:space="preserve"> </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0x106</w:t>
            </w:r>
            <w:r w:rsidRPr="00376858">
              <w:rPr>
                <w:rFonts w:ascii="Calibri" w:hAnsi="Calibri" w:cs="Calibri"/>
                <w:sz w:val="18"/>
                <w:szCs w:val="18"/>
              </w:rPr>
              <w:t xml:space="preserve"> </w:t>
            </w:r>
          </w:p>
        </w:tc>
        <w:tc>
          <w:tcPr>
            <w:tcW w:w="263" w:type="pct"/>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0</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External Event Acknowledge 7</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External Event Acknowledge 6</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External Event Acknowledge 5</w:t>
            </w:r>
          </w:p>
        </w:tc>
        <w:tc>
          <w:tcPr>
            <w:tcW w:w="0" w:type="auto"/>
            <w:vAlign w:val="center"/>
            <w:hideMark/>
          </w:tcPr>
          <w:p w:rsidR="00376858" w:rsidRPr="00376858" w:rsidRDefault="00376858">
            <w:pPr>
              <w:rPr>
                <w:rFonts w:ascii="Calibri" w:hAnsi="Calibri" w:cs="Calibri"/>
                <w:sz w:val="18"/>
                <w:szCs w:val="18"/>
              </w:rPr>
            </w:pPr>
            <w:r w:rsidRPr="00376858">
              <w:rPr>
                <w:rFonts w:ascii="Calibri" w:hAnsi="Calibri" w:cs="Calibri"/>
                <w:sz w:val="18"/>
                <w:szCs w:val="18"/>
              </w:rPr>
              <w:t>External Event Acknowledge 4</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External Event Acknowledge 3</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External Event Acknowledge 2</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External Event Acknowledge 1</w:t>
            </w:r>
          </w:p>
        </w:tc>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External Event Acknowledge 0</w:t>
            </w:r>
          </w:p>
        </w:tc>
      </w:tr>
      <w:tr w:rsidR="00376858" w:rsidRPr="00376858" w:rsidTr="00376858">
        <w:trPr>
          <w:tblCellSpacing w:w="0" w:type="dxa"/>
        </w:trPr>
        <w:tc>
          <w:tcPr>
            <w:tcW w:w="5000" w:type="pct"/>
            <w:gridSpan w:val="11"/>
            <w:vAlign w:val="center"/>
            <w:hideMark/>
          </w:tcPr>
          <w:p w:rsidR="00376858" w:rsidRPr="00376858" w:rsidRDefault="00376858">
            <w:pPr>
              <w:rPr>
                <w:rFonts w:ascii="Calibri" w:hAnsi="Calibri" w:cs="Calibri"/>
                <w:sz w:val="18"/>
                <w:szCs w:val="18"/>
              </w:rPr>
            </w:pPr>
            <w:r w:rsidRPr="00376858">
              <w:rPr>
                <w:rFonts w:ascii="Calibri" w:hAnsi="Calibri" w:cs="Calibri"/>
                <w:sz w:val="18"/>
                <w:szCs w:val="18"/>
              </w:rPr>
              <w:t> </w:t>
            </w:r>
          </w:p>
        </w:tc>
      </w:tr>
      <w:tr w:rsidR="00376858" w:rsidRPr="00376858" w:rsidTr="00376858">
        <w:trPr>
          <w:tblCellSpacing w:w="0" w:type="dxa"/>
        </w:trPr>
        <w:tc>
          <w:tcPr>
            <w:tcW w:w="0" w:type="auto"/>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User Data</w:t>
            </w:r>
            <w:r w:rsidRPr="00376858">
              <w:rPr>
                <w:rFonts w:ascii="Calibri" w:hAnsi="Calibri" w:cs="Calibri"/>
                <w:sz w:val="18"/>
                <w:szCs w:val="18"/>
              </w:rPr>
              <w:t xml:space="preserve"> </w:t>
            </w:r>
          </w:p>
        </w:tc>
        <w:tc>
          <w:tcPr>
            <w:tcW w:w="0" w:type="auto"/>
            <w:vAlign w:val="center"/>
            <w:hideMark/>
          </w:tcPr>
          <w:p w:rsidR="00376858" w:rsidRPr="00376858" w:rsidRDefault="00376858">
            <w:pPr>
              <w:pStyle w:val="NormalWeb"/>
              <w:rPr>
                <w:rFonts w:ascii="Calibri" w:hAnsi="Calibri" w:cs="Calibri"/>
                <w:b/>
                <w:bCs/>
                <w:sz w:val="18"/>
                <w:szCs w:val="18"/>
              </w:rPr>
            </w:pPr>
            <w:r w:rsidRPr="00376858">
              <w:rPr>
                <w:rFonts w:ascii="Calibri" w:hAnsi="Calibri" w:cs="Calibri"/>
                <w:b/>
                <w:bCs/>
                <w:sz w:val="18"/>
                <w:szCs w:val="18"/>
              </w:rPr>
              <w:t>0x301 (16)</w:t>
            </w:r>
          </w:p>
          <w:p w:rsidR="00376858" w:rsidRPr="00376858" w:rsidRDefault="00376858">
            <w:pPr>
              <w:pStyle w:val="NormalWeb"/>
              <w:rPr>
                <w:rFonts w:ascii="Calibri" w:hAnsi="Calibri" w:cs="Calibri"/>
                <w:b/>
                <w:bCs/>
                <w:sz w:val="18"/>
                <w:szCs w:val="18"/>
              </w:rPr>
            </w:pPr>
            <w:r w:rsidRPr="00376858">
              <w:rPr>
                <w:rFonts w:ascii="Calibri" w:hAnsi="Calibri" w:cs="Calibri"/>
                <w:b/>
                <w:bCs/>
                <w:sz w:val="18"/>
                <w:szCs w:val="18"/>
              </w:rPr>
              <w:t>0x302 (32)</w:t>
            </w:r>
          </w:p>
          <w:p w:rsidR="00376858" w:rsidRPr="00376858" w:rsidRDefault="00376858">
            <w:pPr>
              <w:pStyle w:val="NormalWeb"/>
              <w:rPr>
                <w:rFonts w:ascii="Calibri" w:hAnsi="Calibri" w:cs="Calibri"/>
                <w:b/>
                <w:bCs/>
                <w:sz w:val="18"/>
                <w:szCs w:val="18"/>
              </w:rPr>
            </w:pPr>
            <w:r w:rsidRPr="00376858">
              <w:rPr>
                <w:rFonts w:ascii="Calibri" w:hAnsi="Calibri" w:cs="Calibri"/>
                <w:b/>
                <w:bCs/>
                <w:sz w:val="18"/>
                <w:szCs w:val="18"/>
              </w:rPr>
              <w:t>0x302 (64)</w:t>
            </w:r>
          </w:p>
          <w:p w:rsidR="00376858" w:rsidRPr="00376858" w:rsidRDefault="00376858">
            <w:pPr>
              <w:pStyle w:val="NormalWeb"/>
              <w:rPr>
                <w:rFonts w:ascii="Calibri" w:hAnsi="Calibri" w:cs="Calibri"/>
                <w:b/>
                <w:bCs/>
                <w:sz w:val="18"/>
                <w:szCs w:val="18"/>
              </w:rPr>
            </w:pPr>
            <w:r w:rsidRPr="00376858">
              <w:rPr>
                <w:rFonts w:ascii="Calibri" w:hAnsi="Calibri" w:cs="Calibri"/>
                <w:b/>
                <w:bCs/>
                <w:sz w:val="18"/>
                <w:szCs w:val="18"/>
              </w:rPr>
              <w:t>0x304 (128)</w:t>
            </w:r>
          </w:p>
          <w:p w:rsidR="00376858" w:rsidRPr="00376858" w:rsidRDefault="00376858">
            <w:pPr>
              <w:pStyle w:val="NormalWeb"/>
              <w:rPr>
                <w:rFonts w:ascii="Calibri" w:hAnsi="Calibri" w:cs="Calibri"/>
                <w:b/>
                <w:bCs/>
                <w:sz w:val="18"/>
                <w:szCs w:val="18"/>
              </w:rPr>
            </w:pPr>
            <w:r w:rsidRPr="00376858">
              <w:rPr>
                <w:rFonts w:ascii="Calibri" w:hAnsi="Calibri" w:cs="Calibri"/>
                <w:b/>
                <w:bCs/>
                <w:sz w:val="18"/>
                <w:szCs w:val="18"/>
              </w:rPr>
              <w:t>0x305 (254)</w:t>
            </w:r>
          </w:p>
        </w:tc>
        <w:tc>
          <w:tcPr>
            <w:tcW w:w="263" w:type="pct"/>
            <w:vAlign w:val="center"/>
            <w:hideMark/>
          </w:tcPr>
          <w:p w:rsidR="00376858" w:rsidRPr="00376858" w:rsidRDefault="00376858">
            <w:pPr>
              <w:rPr>
                <w:rFonts w:ascii="Calibri" w:hAnsi="Calibri" w:cs="Calibri"/>
                <w:sz w:val="18"/>
                <w:szCs w:val="18"/>
              </w:rPr>
            </w:pPr>
            <w:proofErr w:type="gramStart"/>
            <w:r w:rsidRPr="00376858">
              <w:rPr>
                <w:rFonts w:ascii="Calibri" w:hAnsi="Calibri" w:cs="Calibri"/>
                <w:sz w:val="18"/>
                <w:szCs w:val="18"/>
              </w:rPr>
              <w:t>0 ..</w:t>
            </w:r>
            <w:proofErr w:type="gramEnd"/>
          </w:p>
        </w:tc>
        <w:tc>
          <w:tcPr>
            <w:tcW w:w="0" w:type="auto"/>
            <w:gridSpan w:val="8"/>
            <w:vAlign w:val="center"/>
            <w:hideMark/>
          </w:tcPr>
          <w:p w:rsidR="00376858" w:rsidRPr="00376858" w:rsidRDefault="00376858">
            <w:pPr>
              <w:rPr>
                <w:rFonts w:ascii="Calibri" w:hAnsi="Calibri" w:cs="Calibri"/>
                <w:sz w:val="18"/>
                <w:szCs w:val="18"/>
              </w:rPr>
            </w:pPr>
            <w:r w:rsidRPr="00376858">
              <w:rPr>
                <w:rFonts w:ascii="Calibri" w:hAnsi="Calibri" w:cs="Calibri"/>
                <w:sz w:val="18"/>
                <w:szCs w:val="18"/>
              </w:rPr>
              <w:t>User Data</w:t>
            </w:r>
          </w:p>
        </w:tc>
      </w:tr>
      <w:tr w:rsidR="00376858" w:rsidRPr="00376858" w:rsidTr="00376858">
        <w:trPr>
          <w:tblCellSpacing w:w="0" w:type="dxa"/>
        </w:trPr>
        <w:tc>
          <w:tcPr>
            <w:tcW w:w="5000" w:type="pct"/>
            <w:gridSpan w:val="11"/>
            <w:vAlign w:val="center"/>
            <w:hideMark/>
          </w:tcPr>
          <w:p w:rsidR="00376858" w:rsidRPr="00376858" w:rsidRDefault="00376858">
            <w:pPr>
              <w:rPr>
                <w:rFonts w:ascii="Calibri" w:hAnsi="Calibri" w:cs="Calibri"/>
                <w:sz w:val="18"/>
                <w:szCs w:val="18"/>
              </w:rPr>
            </w:pPr>
            <w:r w:rsidRPr="00376858">
              <w:rPr>
                <w:rFonts w:ascii="Calibri" w:hAnsi="Calibri" w:cs="Calibri"/>
                <w:sz w:val="18"/>
                <w:szCs w:val="18"/>
              </w:rPr>
              <w:t> </w:t>
            </w:r>
          </w:p>
        </w:tc>
      </w:tr>
      <w:tr w:rsidR="00376858" w:rsidRPr="00376858" w:rsidTr="00376858">
        <w:trPr>
          <w:tblCellSpacing w:w="0" w:type="dxa"/>
        </w:trPr>
        <w:tc>
          <w:tcPr>
            <w:tcW w:w="0" w:type="auto"/>
            <w:vMerge w:val="restart"/>
            <w:vAlign w:val="center"/>
            <w:hideMark/>
          </w:tcPr>
          <w:p w:rsidR="00376858" w:rsidRPr="00376858" w:rsidRDefault="00376858">
            <w:pPr>
              <w:pStyle w:val="NormalWeb"/>
              <w:rPr>
                <w:rFonts w:ascii="Calibri" w:hAnsi="Calibri" w:cs="Calibri"/>
                <w:sz w:val="18"/>
                <w:szCs w:val="18"/>
              </w:rPr>
            </w:pPr>
            <w:r w:rsidRPr="00376858">
              <w:rPr>
                <w:rFonts w:ascii="Calibri" w:hAnsi="Calibri" w:cs="Calibri"/>
                <w:b/>
                <w:bCs/>
                <w:sz w:val="18"/>
                <w:szCs w:val="18"/>
              </w:rPr>
              <w:t>Inspection Results</w:t>
            </w:r>
            <w:r w:rsidRPr="00376858">
              <w:rPr>
                <w:rFonts w:ascii="Calibri" w:hAnsi="Calibri" w:cs="Calibri"/>
                <w:sz w:val="18"/>
                <w:szCs w:val="18"/>
              </w:rPr>
              <w:t xml:space="preserve"> </w:t>
            </w:r>
          </w:p>
        </w:tc>
        <w:tc>
          <w:tcPr>
            <w:tcW w:w="0" w:type="auto"/>
            <w:vMerge w:val="restart"/>
            <w:vAlign w:val="center"/>
            <w:hideMark/>
          </w:tcPr>
          <w:p w:rsidR="00376858" w:rsidRPr="00376858" w:rsidRDefault="00376858">
            <w:pPr>
              <w:pStyle w:val="NormalWeb"/>
              <w:rPr>
                <w:rFonts w:ascii="Calibri" w:hAnsi="Calibri" w:cs="Calibri"/>
                <w:b/>
                <w:bCs/>
                <w:sz w:val="18"/>
                <w:szCs w:val="18"/>
              </w:rPr>
            </w:pPr>
            <w:r w:rsidRPr="00376858">
              <w:rPr>
                <w:rFonts w:ascii="Calibri" w:hAnsi="Calibri" w:cs="Calibri"/>
                <w:b/>
                <w:bCs/>
                <w:sz w:val="18"/>
                <w:szCs w:val="18"/>
              </w:rPr>
              <w:t>0x401 (16)</w:t>
            </w:r>
          </w:p>
          <w:p w:rsidR="00376858" w:rsidRPr="00376858" w:rsidRDefault="00376858">
            <w:pPr>
              <w:pStyle w:val="NormalWeb"/>
              <w:rPr>
                <w:rFonts w:ascii="Calibri" w:hAnsi="Calibri" w:cs="Calibri"/>
                <w:b/>
                <w:bCs/>
                <w:sz w:val="18"/>
                <w:szCs w:val="18"/>
              </w:rPr>
            </w:pPr>
            <w:r w:rsidRPr="00376858">
              <w:rPr>
                <w:rFonts w:ascii="Calibri" w:hAnsi="Calibri" w:cs="Calibri"/>
                <w:b/>
                <w:bCs/>
                <w:sz w:val="18"/>
                <w:szCs w:val="18"/>
              </w:rPr>
              <w:t>0x402 (32)</w:t>
            </w:r>
          </w:p>
          <w:p w:rsidR="00376858" w:rsidRPr="00376858" w:rsidRDefault="00376858">
            <w:pPr>
              <w:pStyle w:val="NormalWeb"/>
              <w:rPr>
                <w:rFonts w:ascii="Calibri" w:hAnsi="Calibri" w:cs="Calibri"/>
                <w:b/>
                <w:bCs/>
                <w:sz w:val="18"/>
                <w:szCs w:val="18"/>
              </w:rPr>
            </w:pPr>
            <w:r w:rsidRPr="00376858">
              <w:rPr>
                <w:rFonts w:ascii="Calibri" w:hAnsi="Calibri" w:cs="Calibri"/>
                <w:b/>
                <w:bCs/>
                <w:sz w:val="18"/>
                <w:szCs w:val="18"/>
              </w:rPr>
              <w:t>0x403 (64)</w:t>
            </w:r>
          </w:p>
          <w:p w:rsidR="00376858" w:rsidRPr="00376858" w:rsidRDefault="00376858">
            <w:pPr>
              <w:pStyle w:val="NormalWeb"/>
              <w:rPr>
                <w:rFonts w:ascii="Calibri" w:hAnsi="Calibri" w:cs="Calibri"/>
                <w:b/>
                <w:bCs/>
                <w:sz w:val="18"/>
                <w:szCs w:val="18"/>
              </w:rPr>
            </w:pPr>
            <w:r w:rsidRPr="00376858">
              <w:rPr>
                <w:rFonts w:ascii="Calibri" w:hAnsi="Calibri" w:cs="Calibri"/>
                <w:b/>
                <w:bCs/>
                <w:sz w:val="18"/>
                <w:szCs w:val="18"/>
              </w:rPr>
              <w:t>0x404 (128)</w:t>
            </w:r>
          </w:p>
          <w:p w:rsidR="00376858" w:rsidRPr="00376858" w:rsidRDefault="00376858">
            <w:pPr>
              <w:pStyle w:val="NormalWeb"/>
              <w:rPr>
                <w:rFonts w:ascii="Calibri" w:hAnsi="Calibri" w:cs="Calibri"/>
                <w:b/>
                <w:bCs/>
                <w:sz w:val="18"/>
                <w:szCs w:val="18"/>
              </w:rPr>
            </w:pPr>
            <w:r w:rsidRPr="00376858">
              <w:rPr>
                <w:rFonts w:ascii="Calibri" w:hAnsi="Calibri" w:cs="Calibri"/>
                <w:b/>
                <w:bCs/>
                <w:sz w:val="18"/>
                <w:szCs w:val="18"/>
              </w:rPr>
              <w:t>0x405 (250)</w:t>
            </w:r>
          </w:p>
        </w:tc>
        <w:tc>
          <w:tcPr>
            <w:tcW w:w="263" w:type="pct"/>
            <w:vAlign w:val="center"/>
            <w:hideMark/>
          </w:tcPr>
          <w:p w:rsidR="00376858" w:rsidRPr="00376858" w:rsidRDefault="00376858">
            <w:pPr>
              <w:pStyle w:val="NormalWeb"/>
              <w:rPr>
                <w:rFonts w:ascii="Calibri" w:hAnsi="Calibri" w:cs="Calibri"/>
                <w:sz w:val="18"/>
                <w:szCs w:val="18"/>
              </w:rPr>
            </w:pPr>
            <w:proofErr w:type="gramStart"/>
            <w:r w:rsidRPr="00376858">
              <w:rPr>
                <w:rFonts w:ascii="Calibri" w:hAnsi="Calibri" w:cs="Calibri"/>
                <w:sz w:val="18"/>
                <w:szCs w:val="18"/>
              </w:rPr>
              <w:t>0 ..</w:t>
            </w:r>
            <w:proofErr w:type="gramEnd"/>
            <w:r w:rsidRPr="00376858">
              <w:rPr>
                <w:rFonts w:ascii="Calibri" w:hAnsi="Calibri" w:cs="Calibri"/>
                <w:sz w:val="18"/>
                <w:szCs w:val="18"/>
              </w:rPr>
              <w:t xml:space="preserve"> 1</w:t>
            </w:r>
          </w:p>
        </w:tc>
        <w:tc>
          <w:tcPr>
            <w:tcW w:w="0" w:type="auto"/>
            <w:gridSpan w:val="8"/>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Inspection ID</w:t>
            </w:r>
          </w:p>
        </w:tc>
      </w:tr>
      <w:tr w:rsidR="00376858" w:rsidRPr="00376858" w:rsidTr="00376858">
        <w:trPr>
          <w:tblCellSpacing w:w="0" w:type="dxa"/>
        </w:trPr>
        <w:tc>
          <w:tcPr>
            <w:tcW w:w="0" w:type="auto"/>
            <w:vMerge/>
            <w:vAlign w:val="center"/>
            <w:hideMark/>
          </w:tcPr>
          <w:p w:rsidR="00376858" w:rsidRPr="00376858" w:rsidRDefault="00376858">
            <w:pPr>
              <w:rPr>
                <w:rFonts w:ascii="Calibri" w:hAnsi="Calibri" w:cs="Calibri"/>
                <w:sz w:val="18"/>
                <w:szCs w:val="18"/>
              </w:rPr>
            </w:pPr>
          </w:p>
        </w:tc>
        <w:tc>
          <w:tcPr>
            <w:tcW w:w="0" w:type="auto"/>
            <w:vMerge/>
            <w:vAlign w:val="center"/>
            <w:hideMark/>
          </w:tcPr>
          <w:p w:rsidR="00376858" w:rsidRPr="00376858" w:rsidRDefault="00376858">
            <w:pPr>
              <w:rPr>
                <w:rFonts w:ascii="Calibri" w:hAnsi="Calibri" w:cs="Calibri"/>
                <w:b/>
                <w:bCs/>
                <w:sz w:val="18"/>
                <w:szCs w:val="18"/>
              </w:rPr>
            </w:pPr>
          </w:p>
        </w:tc>
        <w:tc>
          <w:tcPr>
            <w:tcW w:w="263" w:type="pct"/>
            <w:vAlign w:val="center"/>
            <w:hideMark/>
          </w:tcPr>
          <w:p w:rsidR="00376858" w:rsidRPr="00376858" w:rsidRDefault="00376858">
            <w:pPr>
              <w:pStyle w:val="NormalWeb"/>
              <w:rPr>
                <w:rFonts w:ascii="Calibri" w:hAnsi="Calibri" w:cs="Calibri"/>
                <w:sz w:val="18"/>
                <w:szCs w:val="18"/>
              </w:rPr>
            </w:pPr>
            <w:proofErr w:type="gramStart"/>
            <w:r w:rsidRPr="00376858">
              <w:rPr>
                <w:rFonts w:ascii="Calibri" w:hAnsi="Calibri" w:cs="Calibri"/>
                <w:sz w:val="18"/>
                <w:szCs w:val="18"/>
              </w:rPr>
              <w:t>2 ..</w:t>
            </w:r>
            <w:proofErr w:type="gramEnd"/>
            <w:r w:rsidRPr="00376858">
              <w:rPr>
                <w:rFonts w:ascii="Calibri" w:hAnsi="Calibri" w:cs="Calibri"/>
                <w:sz w:val="18"/>
                <w:szCs w:val="18"/>
              </w:rPr>
              <w:t xml:space="preserve"> 3</w:t>
            </w:r>
          </w:p>
        </w:tc>
        <w:tc>
          <w:tcPr>
            <w:tcW w:w="0" w:type="auto"/>
            <w:gridSpan w:val="8"/>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Inspection Result Code</w:t>
            </w:r>
          </w:p>
        </w:tc>
      </w:tr>
      <w:tr w:rsidR="00376858" w:rsidRPr="00376858" w:rsidTr="00376858">
        <w:trPr>
          <w:tblCellSpacing w:w="0" w:type="dxa"/>
        </w:trPr>
        <w:tc>
          <w:tcPr>
            <w:tcW w:w="0" w:type="auto"/>
            <w:vMerge/>
            <w:vAlign w:val="center"/>
            <w:hideMark/>
          </w:tcPr>
          <w:p w:rsidR="00376858" w:rsidRPr="00376858" w:rsidRDefault="00376858">
            <w:pPr>
              <w:rPr>
                <w:rFonts w:ascii="Calibri" w:hAnsi="Calibri" w:cs="Calibri"/>
                <w:sz w:val="18"/>
                <w:szCs w:val="18"/>
              </w:rPr>
            </w:pPr>
          </w:p>
        </w:tc>
        <w:tc>
          <w:tcPr>
            <w:tcW w:w="0" w:type="auto"/>
            <w:vMerge/>
            <w:vAlign w:val="center"/>
            <w:hideMark/>
          </w:tcPr>
          <w:p w:rsidR="00376858" w:rsidRPr="00376858" w:rsidRDefault="00376858">
            <w:pPr>
              <w:rPr>
                <w:rFonts w:ascii="Calibri" w:hAnsi="Calibri" w:cs="Calibri"/>
                <w:b/>
                <w:bCs/>
                <w:sz w:val="18"/>
                <w:szCs w:val="18"/>
              </w:rPr>
            </w:pPr>
          </w:p>
        </w:tc>
        <w:tc>
          <w:tcPr>
            <w:tcW w:w="263" w:type="pct"/>
            <w:vAlign w:val="center"/>
            <w:hideMark/>
          </w:tcPr>
          <w:p w:rsidR="00376858" w:rsidRPr="00376858" w:rsidRDefault="00376858">
            <w:pPr>
              <w:pStyle w:val="NormalWeb"/>
              <w:rPr>
                <w:rFonts w:ascii="Calibri" w:hAnsi="Calibri" w:cs="Calibri"/>
                <w:sz w:val="18"/>
                <w:szCs w:val="18"/>
              </w:rPr>
            </w:pPr>
            <w:proofErr w:type="gramStart"/>
            <w:r w:rsidRPr="00376858">
              <w:rPr>
                <w:rFonts w:ascii="Calibri" w:hAnsi="Calibri" w:cs="Calibri"/>
                <w:sz w:val="18"/>
                <w:szCs w:val="18"/>
              </w:rPr>
              <w:t>4 ..</w:t>
            </w:r>
            <w:proofErr w:type="gramEnd"/>
          </w:p>
        </w:tc>
        <w:tc>
          <w:tcPr>
            <w:tcW w:w="0" w:type="auto"/>
            <w:gridSpan w:val="8"/>
            <w:vAlign w:val="center"/>
            <w:hideMark/>
          </w:tcPr>
          <w:p w:rsidR="00376858" w:rsidRPr="00376858" w:rsidRDefault="00376858">
            <w:pPr>
              <w:pStyle w:val="NormalWeb"/>
              <w:rPr>
                <w:rFonts w:ascii="Calibri" w:hAnsi="Calibri" w:cs="Calibri"/>
                <w:sz w:val="18"/>
                <w:szCs w:val="18"/>
              </w:rPr>
            </w:pPr>
            <w:r w:rsidRPr="00376858">
              <w:rPr>
                <w:rFonts w:ascii="Calibri" w:hAnsi="Calibri" w:cs="Calibri"/>
                <w:sz w:val="18"/>
                <w:szCs w:val="18"/>
              </w:rPr>
              <w:t>Inspection Results</w:t>
            </w:r>
          </w:p>
        </w:tc>
      </w:tr>
      <w:tr w:rsidR="00376858" w:rsidRPr="00376858" w:rsidTr="00376858">
        <w:trPr>
          <w:tblCellSpacing w:w="0" w:type="dxa"/>
        </w:trPr>
        <w:tc>
          <w:tcPr>
            <w:tcW w:w="5000" w:type="pct"/>
            <w:gridSpan w:val="11"/>
            <w:vAlign w:val="center"/>
            <w:hideMark/>
          </w:tcPr>
          <w:p w:rsidR="00376858" w:rsidRPr="00376858" w:rsidRDefault="00376858">
            <w:pPr>
              <w:rPr>
                <w:rFonts w:ascii="Calibri" w:hAnsi="Calibri" w:cs="Calibri"/>
                <w:sz w:val="18"/>
                <w:szCs w:val="18"/>
              </w:rPr>
            </w:pPr>
          </w:p>
        </w:tc>
      </w:tr>
    </w:tbl>
    <w:p w:rsidR="009A18BE" w:rsidRDefault="00376858" w:rsidP="00287D76">
      <w:pPr>
        <w:pStyle w:val="Heading1"/>
      </w:pPr>
      <w:r>
        <w:br w:type="page"/>
      </w:r>
    </w:p>
    <w:p w:rsidR="00365A9C" w:rsidRPr="008F002E" w:rsidRDefault="00FC07DC">
      <w:pPr>
        <w:rPr>
          <w:sz w:val="28"/>
          <w:szCs w:val="28"/>
        </w:rPr>
      </w:pPr>
      <w:r w:rsidRPr="008F002E">
        <w:rPr>
          <w:sz w:val="28"/>
          <w:szCs w:val="28"/>
        </w:rPr>
        <w:lastRenderedPageBreak/>
        <w:t>Rockwell</w:t>
      </w:r>
    </w:p>
    <w:p w:rsidR="00DB2ED2" w:rsidRPr="00DB2ED2" w:rsidRDefault="00DB2ED2" w:rsidP="00DB2ED2">
      <w:pPr>
        <w:pStyle w:val="Heading1"/>
        <w:rPr>
          <w:rFonts w:ascii="Calibri" w:hAnsi="Calibri" w:cs="Calibri"/>
          <w:sz w:val="28"/>
          <w:szCs w:val="28"/>
        </w:rPr>
      </w:pPr>
      <w:r w:rsidRPr="00DB2ED2">
        <w:rPr>
          <w:rStyle w:val="systemtitle"/>
          <w:rFonts w:ascii="Calibri" w:hAnsi="Calibri" w:cs="Calibri"/>
          <w:sz w:val="28"/>
          <w:szCs w:val="28"/>
        </w:rPr>
        <w:t>Establish a Unicast Implicit Connection - In-Sight 5.x.x Firmware</w:t>
      </w:r>
      <w:r w:rsidRPr="00DB2ED2">
        <w:rPr>
          <w:rFonts w:ascii="Calibri" w:hAnsi="Calibri" w:cs="Calibri"/>
          <w:sz w:val="28"/>
          <w:szCs w:val="28"/>
        </w:rPr>
        <w:t xml:space="preserve"> </w:t>
      </w:r>
    </w:p>
    <w:p w:rsidR="00DB2ED2" w:rsidRDefault="00DB2ED2" w:rsidP="00DB2ED2">
      <w:pPr>
        <w:pStyle w:val="NormalWeb"/>
      </w:pPr>
      <w:r>
        <w:t xml:space="preserve">If the vision system is has In-Sight 5.x.x firmware version installed, the following steps must be taken to transfer data between an In-Sight vision system and a </w:t>
      </w:r>
      <w:proofErr w:type="spellStart"/>
      <w:r>
        <w:t>ControlLogix</w:t>
      </w:r>
      <w:proofErr w:type="spellEnd"/>
      <w:r>
        <w:t xml:space="preserve"> or </w:t>
      </w:r>
      <w:proofErr w:type="spellStart"/>
      <w:r>
        <w:t>CompactLogix</w:t>
      </w:r>
      <w:proofErr w:type="spellEnd"/>
      <w:r>
        <w:t xml:space="preserve"> PLC on an </w:t>
      </w:r>
      <w:proofErr w:type="spellStart"/>
      <w:r>
        <w:t>EtherNet</w:t>
      </w:r>
      <w:proofErr w:type="spellEnd"/>
      <w:r>
        <w:t xml:space="preserve">/IP network, depending on the version of </w:t>
      </w:r>
      <w:proofErr w:type="spellStart"/>
      <w:r>
        <w:t>RSLogix</w:t>
      </w:r>
      <w:proofErr w:type="spellEnd"/>
      <w:r>
        <w:t xml:space="preserve"> 5000 being used to program the PLC.</w:t>
      </w:r>
    </w:p>
    <w:p w:rsidR="00DB2ED2" w:rsidRDefault="00DB2ED2" w:rsidP="00DB2ED2">
      <w:pPr>
        <w:pStyle w:val="Heading2"/>
      </w:pPr>
      <w:proofErr w:type="spellStart"/>
      <w:r>
        <w:t>RSLogix</w:t>
      </w:r>
      <w:proofErr w:type="spellEnd"/>
      <w:r>
        <w:t xml:space="preserve"> 5000, Version 20+</w:t>
      </w:r>
    </w:p>
    <w:p w:rsidR="00DB2ED2" w:rsidRDefault="00DB2ED2" w:rsidP="006C5F75">
      <w:pPr>
        <w:numPr>
          <w:ilvl w:val="0"/>
          <w:numId w:val="28"/>
        </w:numPr>
        <w:spacing w:before="100" w:beforeAutospacing="1" w:after="100" w:afterAutospacing="1" w:line="240" w:lineRule="auto"/>
      </w:pPr>
      <w:r>
        <w:t xml:space="preserve">Install the EDS files included with In-Sight Explorer software. For more information, see </w:t>
      </w:r>
      <w:hyperlink r:id="rId36" w:history="1">
        <w:r>
          <w:rPr>
            <w:rStyle w:val="Hyperlink"/>
          </w:rPr>
          <w:t>Install the EDS Files</w:t>
        </w:r>
      </w:hyperlink>
      <w:r>
        <w:t>.</w:t>
      </w:r>
    </w:p>
    <w:p w:rsidR="00DB2ED2" w:rsidRDefault="00DB2ED2" w:rsidP="006C5F75">
      <w:pPr>
        <w:numPr>
          <w:ilvl w:val="0"/>
          <w:numId w:val="29"/>
        </w:numPr>
        <w:spacing w:before="100" w:beforeAutospacing="1" w:after="100" w:afterAutospacing="1" w:line="240" w:lineRule="auto"/>
      </w:pPr>
      <w:r>
        <w:t xml:space="preserve">Establish the connection using the EDS generated profile. For more information, see </w:t>
      </w:r>
      <w:hyperlink r:id="rId37" w:history="1">
        <w:r>
          <w:rPr>
            <w:rStyle w:val="Hyperlink"/>
          </w:rPr>
          <w:t>Establish the Connection Using the EDS Generated Profile</w:t>
        </w:r>
      </w:hyperlink>
      <w:r>
        <w:t>.</w:t>
      </w:r>
    </w:p>
    <w:p w:rsidR="00DB2ED2" w:rsidRDefault="00C762BF" w:rsidP="00DB2ED2">
      <w:pPr>
        <w:pStyle w:val="minitoc10"/>
      </w:pPr>
      <w:hyperlink r:id="rId38" w:history="1">
        <w:r w:rsidR="00DB2ED2">
          <w:rPr>
            <w:rStyle w:val="Hyperlink"/>
          </w:rPr>
          <w:t>Install the EDS Files</w:t>
        </w:r>
      </w:hyperlink>
    </w:p>
    <w:p w:rsidR="00DB2ED2" w:rsidRDefault="00C762BF" w:rsidP="00DB2ED2">
      <w:pPr>
        <w:pStyle w:val="minitoc10"/>
      </w:pPr>
      <w:hyperlink r:id="rId39" w:history="1">
        <w:r w:rsidR="00DB2ED2">
          <w:rPr>
            <w:rStyle w:val="Hyperlink"/>
          </w:rPr>
          <w:t>Establish the Connection Using the EDS Generated Profile</w:t>
        </w:r>
      </w:hyperlink>
    </w:p>
    <w:p w:rsidR="00DB2ED2" w:rsidRDefault="00C762BF" w:rsidP="00DB2ED2">
      <w:pPr>
        <w:pStyle w:val="minitoc10"/>
      </w:pPr>
      <w:hyperlink r:id="rId40" w:history="1">
        <w:r w:rsidR="00DB2ED2">
          <w:rPr>
            <w:rStyle w:val="Hyperlink"/>
          </w:rPr>
          <w:t>Establish the Connection Using a Generic ETHERNET-MODULE</w:t>
        </w:r>
      </w:hyperlink>
    </w:p>
    <w:p w:rsidR="00DB2ED2" w:rsidRPr="00DB2ED2" w:rsidRDefault="00DB2ED2" w:rsidP="00DB2ED2">
      <w:pPr>
        <w:pStyle w:val="Heading1"/>
        <w:rPr>
          <w:rFonts w:ascii="Calibri" w:hAnsi="Calibri" w:cs="Calibri"/>
          <w:sz w:val="28"/>
          <w:szCs w:val="28"/>
        </w:rPr>
      </w:pPr>
      <w:r w:rsidRPr="00DB2ED2">
        <w:rPr>
          <w:rStyle w:val="systemtitle"/>
          <w:rFonts w:ascii="Calibri" w:hAnsi="Calibri" w:cs="Calibri"/>
          <w:sz w:val="28"/>
          <w:szCs w:val="28"/>
        </w:rPr>
        <w:t>Install the EDS Files</w:t>
      </w:r>
      <w:r w:rsidRPr="00DB2ED2">
        <w:rPr>
          <w:rFonts w:ascii="Calibri" w:hAnsi="Calibri" w:cs="Calibri"/>
          <w:sz w:val="28"/>
          <w:szCs w:val="28"/>
        </w:rPr>
        <w:t xml:space="preserve"> </w:t>
      </w:r>
    </w:p>
    <w:p w:rsidR="00DB2ED2" w:rsidRDefault="00DB2ED2" w:rsidP="00DB2ED2">
      <w:pPr>
        <w:pStyle w:val="NormalWeb"/>
      </w:pPr>
      <w:r>
        <w:t xml:space="preserve">Electronic Data Sheets (EDS) are text files used by various network configuration tools, such as Rockwell Software's </w:t>
      </w:r>
      <w:proofErr w:type="spellStart"/>
      <w:r>
        <w:t>RSLinx</w:t>
      </w:r>
      <w:proofErr w:type="spellEnd"/>
      <w:r>
        <w:t xml:space="preserve">™, to identify In-Sight vision systems on a network. These EDS files are then imported into the appropriate software. </w:t>
      </w:r>
    </w:p>
    <w:p w:rsidR="00DB2ED2" w:rsidRDefault="00DB2ED2" w:rsidP="00DB2ED2">
      <w:pPr>
        <w:pStyle w:val="NormalWeb"/>
      </w:pPr>
      <w:r>
        <w:t xml:space="preserve">This example will walk through integrating </w:t>
      </w:r>
      <w:proofErr w:type="spellStart"/>
      <w:r>
        <w:t>Cognex</w:t>
      </w:r>
      <w:proofErr w:type="spellEnd"/>
      <w:r>
        <w:t xml:space="preserve"> EDS files with Rockwell Software's </w:t>
      </w:r>
      <w:proofErr w:type="spellStart"/>
      <w:r>
        <w:t>RSLinx</w:t>
      </w:r>
      <w:proofErr w:type="spellEnd"/>
      <w:r>
        <w:t xml:space="preserve">. To correctly identify In-Sight sensors within </w:t>
      </w:r>
      <w:proofErr w:type="spellStart"/>
      <w:r>
        <w:t>RSLinx</w:t>
      </w:r>
      <w:proofErr w:type="spellEnd"/>
      <w:r>
        <w:t>, perform the following:</w:t>
      </w:r>
    </w:p>
    <w:p w:rsidR="00DB2ED2" w:rsidRDefault="00DB2ED2" w:rsidP="006C5F75">
      <w:pPr>
        <w:numPr>
          <w:ilvl w:val="0"/>
          <w:numId w:val="30"/>
        </w:numPr>
        <w:spacing w:before="100" w:beforeAutospacing="1" w:after="100" w:afterAutospacing="1" w:line="240" w:lineRule="auto"/>
      </w:pPr>
      <w:r>
        <w:t xml:space="preserve">Click </w:t>
      </w:r>
      <w:r>
        <w:rPr>
          <w:b/>
          <w:bCs/>
        </w:rPr>
        <w:t xml:space="preserve">Start &gt; All Programs &gt; Rockwell Software &gt; </w:t>
      </w:r>
      <w:proofErr w:type="spellStart"/>
      <w:r>
        <w:rPr>
          <w:b/>
          <w:bCs/>
        </w:rPr>
        <w:t>RSLinx</w:t>
      </w:r>
      <w:proofErr w:type="spellEnd"/>
      <w:r>
        <w:rPr>
          <w:b/>
          <w:bCs/>
        </w:rPr>
        <w:t xml:space="preserve"> &gt; Tools &gt; EDS Hardware Installation Tool</w:t>
      </w:r>
      <w:r>
        <w:t>.</w:t>
      </w:r>
    </w:p>
    <w:p w:rsidR="00DB2ED2" w:rsidRDefault="00DB2ED2" w:rsidP="006C5F75">
      <w:pPr>
        <w:pStyle w:val="NormalWeb"/>
        <w:numPr>
          <w:ilvl w:val="0"/>
          <w:numId w:val="31"/>
        </w:numPr>
      </w:pPr>
      <w:r>
        <w:t xml:space="preserve">Click </w:t>
      </w:r>
      <w:r>
        <w:rPr>
          <w:b/>
          <w:bCs/>
        </w:rPr>
        <w:t>Add</w:t>
      </w:r>
      <w:r>
        <w:t>.</w:t>
      </w:r>
    </w:p>
    <w:p w:rsidR="00DB2ED2" w:rsidRDefault="00DB2ED2" w:rsidP="00DB2ED2">
      <w:pPr>
        <w:pStyle w:val="image"/>
        <w:ind w:left="720"/>
      </w:pPr>
      <w:r>
        <w:rPr>
          <w:noProof/>
        </w:rPr>
        <w:lastRenderedPageBreak/>
        <w:drawing>
          <wp:inline distT="0" distB="0" distL="0" distR="0">
            <wp:extent cx="4819650" cy="3257550"/>
            <wp:effectExtent l="0" t="0" r="0" b="0"/>
            <wp:docPr id="35" name="Picture 35" descr="https://support.cognex.com/docs/is_574/web/EN/ise/Content/Images/EDS_HardwareInstallationToo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support.cognex.com/docs/is_574/web/EN/ise/Content/Images/EDS_HardwareInstallationTool1.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819650" cy="3257550"/>
                    </a:xfrm>
                    <a:prstGeom prst="rect">
                      <a:avLst/>
                    </a:prstGeom>
                    <a:noFill/>
                    <a:ln>
                      <a:noFill/>
                    </a:ln>
                  </pic:spPr>
                </pic:pic>
              </a:graphicData>
            </a:graphic>
          </wp:inline>
        </w:drawing>
      </w:r>
    </w:p>
    <w:p w:rsidR="00DB2ED2" w:rsidRDefault="00DB2ED2" w:rsidP="006C5F75">
      <w:pPr>
        <w:pStyle w:val="NormalWeb"/>
        <w:numPr>
          <w:ilvl w:val="0"/>
          <w:numId w:val="32"/>
        </w:numPr>
      </w:pPr>
      <w:r>
        <w:t xml:space="preserve">Select </w:t>
      </w:r>
      <w:proofErr w:type="gramStart"/>
      <w:r>
        <w:rPr>
          <w:b/>
          <w:bCs/>
        </w:rPr>
        <w:t>Register</w:t>
      </w:r>
      <w:proofErr w:type="gramEnd"/>
      <w:r>
        <w:rPr>
          <w:b/>
          <w:bCs/>
        </w:rPr>
        <w:t xml:space="preserve"> a directory of EDS files</w:t>
      </w:r>
      <w:r>
        <w:t xml:space="preserve">. Next, click the </w:t>
      </w:r>
      <w:r>
        <w:rPr>
          <w:b/>
          <w:bCs/>
        </w:rPr>
        <w:t>Browse</w:t>
      </w:r>
      <w:r>
        <w:t xml:space="preserve"> button to navigate to the EDS subdirectory of the In-Sight Software installation directory. The default location is: C:\Program Files (x86)\</w:t>
      </w:r>
      <w:proofErr w:type="spellStart"/>
      <w:r>
        <w:t>Cognex</w:t>
      </w:r>
      <w:proofErr w:type="spellEnd"/>
      <w:r>
        <w:t xml:space="preserve">\In-Sight\In-Sight Explorer 5.x.x\Factory Protocol Description\EDS. Click </w:t>
      </w:r>
      <w:r>
        <w:rPr>
          <w:b/>
          <w:bCs/>
        </w:rPr>
        <w:t>Next</w:t>
      </w:r>
      <w:r>
        <w:t>.</w:t>
      </w:r>
    </w:p>
    <w:p w:rsidR="00DB2ED2" w:rsidRDefault="00DB2ED2" w:rsidP="00DB2ED2">
      <w:pPr>
        <w:pStyle w:val="image"/>
        <w:ind w:left="720"/>
      </w:pPr>
      <w:r>
        <w:rPr>
          <w:noProof/>
        </w:rPr>
        <w:drawing>
          <wp:inline distT="0" distB="0" distL="0" distR="0">
            <wp:extent cx="4800600" cy="3708400"/>
            <wp:effectExtent l="0" t="0" r="0" b="6350"/>
            <wp:docPr id="34" name="Picture 34" descr="https://support.cognex.com/docs/is_574/web/EN/ise/Content/Images/EDS_HardwareInstallationToo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support.cognex.com/docs/is_574/web/EN/ise/Content/Images/EDS_HardwareInstallationTool2.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800600" cy="3708400"/>
                    </a:xfrm>
                    <a:prstGeom prst="rect">
                      <a:avLst/>
                    </a:prstGeom>
                    <a:noFill/>
                    <a:ln>
                      <a:noFill/>
                    </a:ln>
                  </pic:spPr>
                </pic:pic>
              </a:graphicData>
            </a:graphic>
          </wp:inline>
        </w:drawing>
      </w:r>
    </w:p>
    <w:p w:rsidR="00DB2ED2" w:rsidRDefault="00DB2ED2" w:rsidP="006C5F75">
      <w:pPr>
        <w:pStyle w:val="NormalWeb"/>
        <w:numPr>
          <w:ilvl w:val="0"/>
          <w:numId w:val="33"/>
        </w:numPr>
      </w:pPr>
      <w:r>
        <w:lastRenderedPageBreak/>
        <w:t xml:space="preserve">Click </w:t>
      </w:r>
      <w:r>
        <w:rPr>
          <w:b/>
          <w:bCs/>
        </w:rPr>
        <w:t>Next</w:t>
      </w:r>
      <w:r>
        <w:t>.</w:t>
      </w:r>
    </w:p>
    <w:p w:rsidR="00DB2ED2" w:rsidRDefault="00DB2ED2" w:rsidP="00DB2ED2">
      <w:pPr>
        <w:pStyle w:val="image"/>
        <w:ind w:left="720"/>
      </w:pPr>
      <w:r>
        <w:rPr>
          <w:noProof/>
        </w:rPr>
        <w:drawing>
          <wp:inline distT="0" distB="0" distL="0" distR="0">
            <wp:extent cx="4685517" cy="3619500"/>
            <wp:effectExtent l="0" t="0" r="1270" b="0"/>
            <wp:docPr id="33" name="Picture 33" descr="https://support.cognex.com/docs/is_574/web/EN/ise/Content/Images/EDS_HardwareInstallationToo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support.cognex.com/docs/is_574/web/EN/ise/Content/Images/EDS_HardwareInstallationTool3.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687945" cy="3621376"/>
                    </a:xfrm>
                    <a:prstGeom prst="rect">
                      <a:avLst/>
                    </a:prstGeom>
                    <a:noFill/>
                    <a:ln>
                      <a:noFill/>
                    </a:ln>
                  </pic:spPr>
                </pic:pic>
              </a:graphicData>
            </a:graphic>
          </wp:inline>
        </w:drawing>
      </w:r>
    </w:p>
    <w:p w:rsidR="00DB2ED2" w:rsidRDefault="00DB2ED2" w:rsidP="006C5F75">
      <w:pPr>
        <w:pStyle w:val="NormalWeb"/>
        <w:numPr>
          <w:ilvl w:val="0"/>
          <w:numId w:val="34"/>
        </w:numPr>
      </w:pPr>
      <w:r>
        <w:t xml:space="preserve">Click </w:t>
      </w:r>
      <w:r>
        <w:rPr>
          <w:b/>
          <w:bCs/>
        </w:rPr>
        <w:t>Next</w:t>
      </w:r>
      <w:r>
        <w:t>.</w:t>
      </w:r>
    </w:p>
    <w:p w:rsidR="00DB2ED2" w:rsidRDefault="00DB2ED2" w:rsidP="00DB2ED2">
      <w:pPr>
        <w:pStyle w:val="image"/>
        <w:ind w:left="720"/>
      </w:pPr>
      <w:r>
        <w:rPr>
          <w:noProof/>
        </w:rPr>
        <w:drawing>
          <wp:inline distT="0" distB="0" distL="0" distR="0">
            <wp:extent cx="4817041" cy="3721100"/>
            <wp:effectExtent l="0" t="0" r="3175" b="0"/>
            <wp:docPr id="32" name="Picture 32" descr="https://support.cognex.com/docs/is_574/web/EN/ise/Content/Images/EDS_HardwareInstallationToo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support.cognex.com/docs/is_574/web/EN/ise/Content/Images/EDS_HardwareInstallationTool4.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835422" cy="3735299"/>
                    </a:xfrm>
                    <a:prstGeom prst="rect">
                      <a:avLst/>
                    </a:prstGeom>
                    <a:noFill/>
                    <a:ln>
                      <a:noFill/>
                    </a:ln>
                  </pic:spPr>
                </pic:pic>
              </a:graphicData>
            </a:graphic>
          </wp:inline>
        </w:drawing>
      </w:r>
    </w:p>
    <w:p w:rsidR="00DB2ED2" w:rsidRDefault="00DB2ED2" w:rsidP="006C5F75">
      <w:pPr>
        <w:pStyle w:val="NormalWeb"/>
        <w:numPr>
          <w:ilvl w:val="0"/>
          <w:numId w:val="35"/>
        </w:numPr>
      </w:pPr>
      <w:r>
        <w:lastRenderedPageBreak/>
        <w:t xml:space="preserve">Click </w:t>
      </w:r>
      <w:r>
        <w:rPr>
          <w:b/>
          <w:bCs/>
        </w:rPr>
        <w:t>Next</w:t>
      </w:r>
      <w:r>
        <w:t>.</w:t>
      </w:r>
    </w:p>
    <w:p w:rsidR="00DB2ED2" w:rsidRDefault="00DB2ED2" w:rsidP="00DB2ED2">
      <w:pPr>
        <w:pStyle w:val="image"/>
        <w:ind w:left="720"/>
      </w:pPr>
      <w:r>
        <w:rPr>
          <w:noProof/>
        </w:rPr>
        <w:drawing>
          <wp:inline distT="0" distB="0" distL="0" distR="0">
            <wp:extent cx="4595095" cy="3549650"/>
            <wp:effectExtent l="0" t="0" r="0" b="0"/>
            <wp:docPr id="31" name="Picture 31" descr="https://support.cognex.com/docs/is_574/web/EN/ise/Content/Images/EDS_HardwareInstallationToo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support.cognex.com/docs/is_574/web/EN/ise/Content/Images/EDS_HardwareInstallationTool5.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97798" cy="3551738"/>
                    </a:xfrm>
                    <a:prstGeom prst="rect">
                      <a:avLst/>
                    </a:prstGeom>
                    <a:noFill/>
                    <a:ln>
                      <a:noFill/>
                    </a:ln>
                  </pic:spPr>
                </pic:pic>
              </a:graphicData>
            </a:graphic>
          </wp:inline>
        </w:drawing>
      </w:r>
    </w:p>
    <w:p w:rsidR="00DB2ED2" w:rsidRDefault="00DB2ED2" w:rsidP="006C5F75">
      <w:pPr>
        <w:pStyle w:val="NormalWeb"/>
        <w:numPr>
          <w:ilvl w:val="0"/>
          <w:numId w:val="36"/>
        </w:numPr>
      </w:pPr>
      <w:r>
        <w:t xml:space="preserve">Click </w:t>
      </w:r>
      <w:r>
        <w:rPr>
          <w:b/>
          <w:bCs/>
        </w:rPr>
        <w:t>Finish</w:t>
      </w:r>
      <w:r>
        <w:t>.</w:t>
      </w:r>
    </w:p>
    <w:p w:rsidR="00DB2ED2" w:rsidRDefault="00DB2ED2" w:rsidP="00DB2ED2">
      <w:pPr>
        <w:pStyle w:val="image"/>
        <w:ind w:left="720"/>
      </w:pPr>
      <w:r>
        <w:rPr>
          <w:noProof/>
        </w:rPr>
        <w:drawing>
          <wp:inline distT="0" distB="0" distL="0" distR="0">
            <wp:extent cx="4635500" cy="3580863"/>
            <wp:effectExtent l="0" t="0" r="0" b="635"/>
            <wp:docPr id="30" name="Picture 30" descr="https://support.cognex.com/docs/is_574/web/EN/ise/Content/Images/EDS_HardwareInstallationTool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support.cognex.com/docs/is_574/web/EN/ise/Content/Images/EDS_HardwareInstallationTool6.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660744" cy="3600364"/>
                    </a:xfrm>
                    <a:prstGeom prst="rect">
                      <a:avLst/>
                    </a:prstGeom>
                    <a:noFill/>
                    <a:ln>
                      <a:noFill/>
                    </a:ln>
                  </pic:spPr>
                </pic:pic>
              </a:graphicData>
            </a:graphic>
          </wp:inline>
        </w:drawing>
      </w:r>
    </w:p>
    <w:p w:rsidR="00DB2ED2" w:rsidRDefault="00DB2ED2" w:rsidP="006C5F75">
      <w:pPr>
        <w:numPr>
          <w:ilvl w:val="0"/>
          <w:numId w:val="37"/>
        </w:numPr>
        <w:spacing w:before="100" w:beforeAutospacing="1" w:after="100" w:afterAutospacing="1" w:line="240" w:lineRule="auto"/>
      </w:pPr>
      <w:r>
        <w:lastRenderedPageBreak/>
        <w:t xml:space="preserve">Click </w:t>
      </w:r>
      <w:r>
        <w:rPr>
          <w:b/>
          <w:bCs/>
        </w:rPr>
        <w:t>Exit</w:t>
      </w:r>
      <w:r>
        <w:t xml:space="preserve"> to terminate the Hardware Installation Tool.</w:t>
      </w:r>
    </w:p>
    <w:p w:rsidR="00DB2ED2" w:rsidRPr="00DB2ED2" w:rsidRDefault="00DB2ED2" w:rsidP="00DB2ED2">
      <w:pPr>
        <w:pStyle w:val="Heading1"/>
        <w:rPr>
          <w:rFonts w:ascii="Calibri" w:hAnsi="Calibri" w:cs="Calibri"/>
          <w:sz w:val="28"/>
          <w:szCs w:val="28"/>
        </w:rPr>
      </w:pPr>
      <w:r w:rsidRPr="00DB2ED2">
        <w:rPr>
          <w:rStyle w:val="systemtitle"/>
          <w:rFonts w:ascii="Calibri" w:hAnsi="Calibri" w:cs="Calibri"/>
          <w:sz w:val="28"/>
          <w:szCs w:val="28"/>
        </w:rPr>
        <w:t>Establish the Connection Using the EDS Generated Profile</w:t>
      </w:r>
      <w:r w:rsidRPr="00DB2ED2">
        <w:rPr>
          <w:rFonts w:ascii="Calibri" w:hAnsi="Calibri" w:cs="Calibri"/>
          <w:sz w:val="28"/>
          <w:szCs w:val="28"/>
        </w:rPr>
        <w:t xml:space="preserve"> </w:t>
      </w:r>
    </w:p>
    <w:p w:rsidR="00DB2ED2" w:rsidRDefault="00DB2ED2" w:rsidP="00DB2ED2">
      <w:pPr>
        <w:pStyle w:val="NormalWeb"/>
      </w:pPr>
      <w:r>
        <w:t>In-Sight Explorer includes .L5X files, which can be used to copy PLC controller tag data to/from user-friendly program tags, representing signals in the In-Sight vision system running In-Sight 4.10.x or 5.x.x firmware.</w:t>
      </w:r>
    </w:p>
    <w:p w:rsidR="00DB2ED2" w:rsidRDefault="00DB2ED2" w:rsidP="00DB2ED2">
      <w:r>
        <w:rPr>
          <w:rStyle w:val="autonumber"/>
          <w:b/>
          <w:bCs/>
        </w:rPr>
        <w:t>Note</w:t>
      </w:r>
      <w:r>
        <w:rPr>
          <w:rStyle w:val="autonumber"/>
        </w:rPr>
        <w:t xml:space="preserve">: </w:t>
      </w:r>
    </w:p>
    <w:p w:rsidR="00DB2ED2" w:rsidRDefault="00DB2ED2" w:rsidP="006C5F75">
      <w:pPr>
        <w:numPr>
          <w:ilvl w:val="0"/>
          <w:numId w:val="38"/>
        </w:numPr>
        <w:spacing w:before="100" w:beforeAutospacing="1" w:after="100" w:afterAutospacing="1" w:line="240" w:lineRule="auto"/>
      </w:pPr>
      <w:r>
        <w:t>If using an EDS generated profile, although the maximum size of the Input Assembly is 500 bytes, the EDS generated profile will only allow a connection of up to 496 bytes.</w:t>
      </w:r>
    </w:p>
    <w:p w:rsidR="00DB2ED2" w:rsidRDefault="00DB2ED2" w:rsidP="006C5F75">
      <w:pPr>
        <w:numPr>
          <w:ilvl w:val="0"/>
          <w:numId w:val="39"/>
        </w:numPr>
        <w:spacing w:before="100" w:beforeAutospacing="1" w:after="100" w:afterAutospacing="1" w:line="240" w:lineRule="auto"/>
      </w:pPr>
      <w:r>
        <w:t xml:space="preserve">When using Rockwell </w:t>
      </w:r>
      <w:proofErr w:type="spellStart"/>
      <w:r>
        <w:t>RSLogix</w:t>
      </w:r>
      <w:proofErr w:type="spellEnd"/>
      <w:r>
        <w:t xml:space="preserve"> Studio 5000, version 21 through 25, the In-Sight EDS generated profile’s default Input and Output Assembly sizes (496 bytes for each) cannot be edited and will default to the largest Input and Output Assembly sizes.</w:t>
      </w:r>
    </w:p>
    <w:p w:rsidR="00DB2ED2" w:rsidRDefault="00DB2ED2" w:rsidP="006C5F75">
      <w:pPr>
        <w:numPr>
          <w:ilvl w:val="0"/>
          <w:numId w:val="40"/>
        </w:numPr>
        <w:spacing w:before="100" w:beforeAutospacing="1" w:after="100" w:afterAutospacing="1" w:line="240" w:lineRule="auto"/>
      </w:pPr>
      <w:r>
        <w:t xml:space="preserve">When using Rockwell </w:t>
      </w:r>
      <w:proofErr w:type="spellStart"/>
      <w:r>
        <w:t>RSLogix</w:t>
      </w:r>
      <w:proofErr w:type="spellEnd"/>
      <w:r>
        <w:t xml:space="preserve"> Studio 5000 version 19 and earlier, an Allen-Bradley Generic ETHERNET-MODULE must be used, instead of a </w:t>
      </w:r>
      <w:proofErr w:type="spellStart"/>
      <w:r>
        <w:t>Cognex</w:t>
      </w:r>
      <w:proofErr w:type="spellEnd"/>
      <w:r>
        <w:t xml:space="preserve"> Corporation In-Sight vision system specific module. For more information about adding and configuring a Generic ETHERNET-MODULE, see </w:t>
      </w:r>
      <w:hyperlink r:id="rId47" w:history="1">
        <w:r>
          <w:rPr>
            <w:rStyle w:val="Hyperlink"/>
          </w:rPr>
          <w:t>Establish the Connection Using a Generic ETHERNET-MODULE</w:t>
        </w:r>
      </w:hyperlink>
      <w:r>
        <w:t>.</w:t>
      </w:r>
    </w:p>
    <w:p w:rsidR="00DB2ED2" w:rsidRDefault="00DB2ED2" w:rsidP="006C5F75">
      <w:pPr>
        <w:numPr>
          <w:ilvl w:val="0"/>
          <w:numId w:val="41"/>
        </w:numPr>
        <w:spacing w:before="100" w:beforeAutospacing="1" w:after="100" w:afterAutospacing="1" w:line="240" w:lineRule="auto"/>
      </w:pPr>
      <w:r>
        <w:t>Install the EDS files included with In-Sight Explorer software, if not already installed.</w:t>
      </w:r>
    </w:p>
    <w:p w:rsidR="00DB2ED2" w:rsidRDefault="00DB2ED2" w:rsidP="006C5F75">
      <w:pPr>
        <w:pStyle w:val="NormalWeb"/>
        <w:numPr>
          <w:ilvl w:val="0"/>
          <w:numId w:val="42"/>
        </w:numPr>
      </w:pPr>
      <w:r>
        <w:t xml:space="preserve">Open </w:t>
      </w:r>
      <w:proofErr w:type="spellStart"/>
      <w:r>
        <w:t>RSLogix</w:t>
      </w:r>
      <w:proofErr w:type="spellEnd"/>
      <w:r>
        <w:t xml:space="preserve"> 5000 and load the PLC's project.</w:t>
      </w:r>
    </w:p>
    <w:p w:rsidR="00DB2ED2" w:rsidRDefault="00DB2ED2" w:rsidP="00DB2ED2">
      <w:pPr>
        <w:spacing w:beforeAutospacing="1" w:afterAutospacing="1"/>
        <w:ind w:left="720"/>
      </w:pPr>
      <w:r>
        <w:rPr>
          <w:rStyle w:val="autonumber"/>
          <w:b/>
          <w:bCs/>
        </w:rPr>
        <w:t>Note</w:t>
      </w:r>
      <w:r>
        <w:rPr>
          <w:rStyle w:val="autonumber"/>
        </w:rPr>
        <w:t xml:space="preserve">: </w:t>
      </w:r>
      <w:r>
        <w:t xml:space="preserve">The PLC must be Offline to add connections in </w:t>
      </w:r>
      <w:proofErr w:type="spellStart"/>
      <w:r>
        <w:t>RSLogix</w:t>
      </w:r>
      <w:proofErr w:type="spellEnd"/>
      <w:r>
        <w:t xml:space="preserve"> 5000.</w:t>
      </w:r>
    </w:p>
    <w:p w:rsidR="00DB2ED2" w:rsidRDefault="00DB2ED2" w:rsidP="006C5F75">
      <w:pPr>
        <w:pStyle w:val="NormalWeb"/>
        <w:numPr>
          <w:ilvl w:val="0"/>
          <w:numId w:val="43"/>
        </w:numPr>
      </w:pPr>
      <w:r>
        <w:t xml:space="preserve">Add a connection to your Ethernet Communications Card. Under the I/O Configuration node, select the </w:t>
      </w:r>
      <w:r>
        <w:rPr>
          <w:b/>
          <w:bCs/>
        </w:rPr>
        <w:t>Ethernet Node</w:t>
      </w:r>
      <w:r>
        <w:t xml:space="preserve"> under the Ethernet Module, right-click on the icon and select </w:t>
      </w:r>
      <w:r>
        <w:rPr>
          <w:b/>
          <w:bCs/>
        </w:rPr>
        <w:t>New Module</w:t>
      </w:r>
      <w:r>
        <w:t xml:space="preserve"> from the menu.</w:t>
      </w:r>
    </w:p>
    <w:p w:rsidR="00DB2ED2" w:rsidRDefault="00DB2ED2" w:rsidP="00DB2ED2">
      <w:pPr>
        <w:pStyle w:val="image"/>
        <w:ind w:left="720"/>
      </w:pPr>
      <w:r>
        <w:rPr>
          <w:noProof/>
        </w:rPr>
        <w:drawing>
          <wp:inline distT="0" distB="0" distL="0" distR="0">
            <wp:extent cx="2667000" cy="1752600"/>
            <wp:effectExtent l="0" t="0" r="0" b="0"/>
            <wp:docPr id="40" name="Picture 40" descr="https://support.cognex.com/docs/is_574/web/EN/ise/Content/Images/EIP_L5X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support.cognex.com/docs/is_574/web/EN/ise/Content/Images/EIP_L5X_01.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67000" cy="1752600"/>
                    </a:xfrm>
                    <a:prstGeom prst="rect">
                      <a:avLst/>
                    </a:prstGeom>
                    <a:noFill/>
                    <a:ln>
                      <a:noFill/>
                    </a:ln>
                  </pic:spPr>
                </pic:pic>
              </a:graphicData>
            </a:graphic>
          </wp:inline>
        </w:drawing>
      </w:r>
    </w:p>
    <w:p w:rsidR="00DB2ED2" w:rsidRDefault="00DB2ED2" w:rsidP="006C5F75">
      <w:pPr>
        <w:pStyle w:val="NormalWeb"/>
        <w:numPr>
          <w:ilvl w:val="0"/>
          <w:numId w:val="44"/>
        </w:numPr>
      </w:pPr>
      <w:r>
        <w:t xml:space="preserve">From the Select Module Type dialog, select the type of In-Sight vision system that will be connected to the PLC and click </w:t>
      </w:r>
      <w:r>
        <w:rPr>
          <w:b/>
          <w:bCs/>
        </w:rPr>
        <w:t>Create</w:t>
      </w:r>
      <w:r>
        <w:t>.</w:t>
      </w:r>
    </w:p>
    <w:p w:rsidR="00DB2ED2" w:rsidRDefault="00DB2ED2" w:rsidP="00DB2ED2">
      <w:pPr>
        <w:spacing w:beforeAutospacing="1" w:afterAutospacing="1"/>
        <w:ind w:left="720"/>
      </w:pPr>
      <w:r>
        <w:rPr>
          <w:rStyle w:val="autonumber"/>
          <w:b/>
          <w:bCs/>
        </w:rPr>
        <w:lastRenderedPageBreak/>
        <w:t>Note</w:t>
      </w:r>
      <w:r>
        <w:rPr>
          <w:rStyle w:val="autonumber"/>
        </w:rPr>
        <w:t xml:space="preserve">: </w:t>
      </w:r>
      <w:r>
        <w:t xml:space="preserve">After loading the new EDS files, new module types will show up and the appropriate module should be selected. </w:t>
      </w:r>
    </w:p>
    <w:p w:rsidR="00DB2ED2" w:rsidRDefault="00DB2ED2" w:rsidP="00DB2ED2">
      <w:pPr>
        <w:pStyle w:val="image"/>
        <w:ind w:left="720"/>
      </w:pPr>
      <w:r>
        <w:rPr>
          <w:noProof/>
        </w:rPr>
        <w:drawing>
          <wp:inline distT="0" distB="0" distL="0" distR="0">
            <wp:extent cx="4761884" cy="3200400"/>
            <wp:effectExtent l="0" t="0" r="635" b="0"/>
            <wp:docPr id="39" name="Picture 39" descr="https://support.cognex.com/docs/is_574/web/EN/ise/Content/Images/EIP_L5X_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support.cognex.com/docs/is_574/web/EN/ise/Content/Images/EIP_L5X_02.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782000" cy="3213920"/>
                    </a:xfrm>
                    <a:prstGeom prst="rect">
                      <a:avLst/>
                    </a:prstGeom>
                    <a:noFill/>
                    <a:ln>
                      <a:noFill/>
                    </a:ln>
                  </pic:spPr>
                </pic:pic>
              </a:graphicData>
            </a:graphic>
          </wp:inline>
        </w:drawing>
      </w:r>
    </w:p>
    <w:p w:rsidR="00DB2ED2" w:rsidRDefault="00DB2ED2" w:rsidP="006C5F75">
      <w:pPr>
        <w:pStyle w:val="NormalWeb"/>
        <w:numPr>
          <w:ilvl w:val="0"/>
          <w:numId w:val="45"/>
        </w:numPr>
      </w:pPr>
      <w:r>
        <w:t xml:space="preserve">From the New Module dialog, enter the In-Sight vision system's name and IP address, and then click the </w:t>
      </w:r>
      <w:r>
        <w:rPr>
          <w:b/>
          <w:bCs/>
        </w:rPr>
        <w:t>Change...</w:t>
      </w:r>
      <w:r>
        <w:t xml:space="preserve"> button to configure the size of the connection.</w:t>
      </w:r>
    </w:p>
    <w:p w:rsidR="00DB2ED2" w:rsidRDefault="00DB2ED2" w:rsidP="00DB2ED2">
      <w:pPr>
        <w:pStyle w:val="image"/>
        <w:ind w:left="720"/>
      </w:pPr>
      <w:r>
        <w:rPr>
          <w:noProof/>
        </w:rPr>
        <w:drawing>
          <wp:inline distT="0" distB="0" distL="0" distR="0">
            <wp:extent cx="4827628" cy="3765550"/>
            <wp:effectExtent l="0" t="0" r="0" b="6350"/>
            <wp:docPr id="38" name="Picture 38" descr="https://support.cognex.com/docs/is_574/web/EN/ise/Content/Images/EIP_L5X_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support.cognex.com/docs/is_574/web/EN/ise/Content/Images/EIP_L5X_03.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866267" cy="3795688"/>
                    </a:xfrm>
                    <a:prstGeom prst="rect">
                      <a:avLst/>
                    </a:prstGeom>
                    <a:noFill/>
                    <a:ln>
                      <a:noFill/>
                    </a:ln>
                  </pic:spPr>
                </pic:pic>
              </a:graphicData>
            </a:graphic>
          </wp:inline>
        </w:drawing>
      </w:r>
    </w:p>
    <w:p w:rsidR="00DB2ED2" w:rsidRDefault="00DB2ED2" w:rsidP="006C5F75">
      <w:pPr>
        <w:numPr>
          <w:ilvl w:val="0"/>
          <w:numId w:val="46"/>
        </w:numPr>
        <w:spacing w:before="100" w:beforeAutospacing="1" w:after="100" w:afterAutospacing="1" w:line="240" w:lineRule="auto"/>
      </w:pPr>
      <w:r>
        <w:lastRenderedPageBreak/>
        <w:t xml:space="preserve">After adding the vision system to the </w:t>
      </w:r>
      <w:proofErr w:type="spellStart"/>
      <w:r>
        <w:t>RSLogix</w:t>
      </w:r>
      <w:proofErr w:type="spellEnd"/>
      <w:r>
        <w:t xml:space="preserve"> project, the L5X rung import file can be used to create structured data for the connection. Within the main program, right-click on an empty rung and select the </w:t>
      </w:r>
      <w:r>
        <w:rPr>
          <w:b/>
          <w:bCs/>
        </w:rPr>
        <w:t>Import Rungs...</w:t>
      </w:r>
      <w:r>
        <w:t xml:space="preserve"> option. Navigate to the .L5X file and click the </w:t>
      </w:r>
      <w:r>
        <w:rPr>
          <w:b/>
          <w:bCs/>
        </w:rPr>
        <w:t>Import...</w:t>
      </w:r>
      <w:r>
        <w:t xml:space="preserve"> button.</w:t>
      </w:r>
    </w:p>
    <w:p w:rsidR="00DB2ED2" w:rsidRDefault="00DB2ED2" w:rsidP="006C5F75">
      <w:pPr>
        <w:pStyle w:val="NormalWeb"/>
        <w:numPr>
          <w:ilvl w:val="1"/>
          <w:numId w:val="47"/>
        </w:numPr>
      </w:pPr>
      <w:r>
        <w:t xml:space="preserve">If using In-Sight 4.10.x firmware, import the </w:t>
      </w:r>
      <w:r>
        <w:rPr>
          <w:b/>
          <w:bCs/>
        </w:rPr>
        <w:t>InSight_12_CopyRung.L5X</w:t>
      </w:r>
      <w:r>
        <w:t xml:space="preserve"> file, which is installed to the following location:</w:t>
      </w:r>
    </w:p>
    <w:p w:rsidR="00DB2ED2" w:rsidRDefault="00DB2ED2" w:rsidP="00DB2ED2">
      <w:pPr>
        <w:pStyle w:val="NormalWeb"/>
        <w:ind w:left="1440"/>
      </w:pPr>
      <w:r>
        <w:t>C:\Program Files (x86)\</w:t>
      </w:r>
      <w:proofErr w:type="spellStart"/>
      <w:r>
        <w:t>Cognex</w:t>
      </w:r>
      <w:proofErr w:type="spellEnd"/>
      <w:r>
        <w:t>\In-Sight\In-Sight Explorer 5.x.x\Factory Protocol Description\</w:t>
      </w:r>
      <w:proofErr w:type="spellStart"/>
      <w:r>
        <w:t>RSLogix</w:t>
      </w:r>
      <w:proofErr w:type="spellEnd"/>
    </w:p>
    <w:p w:rsidR="00DB2ED2" w:rsidRDefault="00DB2ED2" w:rsidP="006C5F75">
      <w:pPr>
        <w:pStyle w:val="NormalWeb"/>
        <w:numPr>
          <w:ilvl w:val="1"/>
          <w:numId w:val="48"/>
        </w:numPr>
      </w:pPr>
      <w:r>
        <w:t xml:space="preserve">If using In-Sight 5.x.x firmware, import the </w:t>
      </w:r>
      <w:r>
        <w:rPr>
          <w:b/>
          <w:bCs/>
        </w:rPr>
        <w:t>InSight_11_CopyRung.L5X</w:t>
      </w:r>
      <w:r>
        <w:t xml:space="preserve"> file, which is installed to the following location:</w:t>
      </w:r>
    </w:p>
    <w:p w:rsidR="00DB2ED2" w:rsidRDefault="00DB2ED2" w:rsidP="00DB2ED2">
      <w:pPr>
        <w:pStyle w:val="NormalWeb"/>
        <w:ind w:left="1440"/>
      </w:pPr>
      <w:r>
        <w:t>C:\Program Files (x86)\</w:t>
      </w:r>
      <w:proofErr w:type="spellStart"/>
      <w:r>
        <w:t>Cognex</w:t>
      </w:r>
      <w:proofErr w:type="spellEnd"/>
      <w:r>
        <w:t>\In-Sight\In-Sight Explorer 5.x.x\Factory Protocol Description\</w:t>
      </w:r>
      <w:proofErr w:type="spellStart"/>
      <w:r>
        <w:t>RSLogix</w:t>
      </w:r>
      <w:proofErr w:type="spellEnd"/>
    </w:p>
    <w:p w:rsidR="00DB2ED2" w:rsidRDefault="00DB2ED2" w:rsidP="006C5F75">
      <w:pPr>
        <w:numPr>
          <w:ilvl w:val="0"/>
          <w:numId w:val="49"/>
        </w:numPr>
        <w:spacing w:before="100" w:beforeAutospacing="1" w:after="100" w:afterAutospacing="1" w:line="240" w:lineRule="auto"/>
      </w:pPr>
      <w:r>
        <w:t xml:space="preserve">In the Import Configuration dialog, select </w:t>
      </w:r>
      <w:r>
        <w:rPr>
          <w:b/>
          <w:bCs/>
        </w:rPr>
        <w:t>Tags</w:t>
      </w:r>
      <w:r>
        <w:t xml:space="preserve"> and change the names of the created tags to match the configuration. </w:t>
      </w:r>
    </w:p>
    <w:p w:rsidR="00DB2ED2" w:rsidRDefault="00DB2ED2" w:rsidP="006C5F75">
      <w:pPr>
        <w:numPr>
          <w:ilvl w:val="1"/>
          <w:numId w:val="50"/>
        </w:numPr>
        <w:spacing w:before="100" w:beforeAutospacing="1" w:after="100" w:afterAutospacing="1" w:line="240" w:lineRule="auto"/>
      </w:pPr>
      <w:r>
        <w:t xml:space="preserve">If using In-Sight 4.10.x firmware, set the </w:t>
      </w:r>
      <w:r>
        <w:rPr>
          <w:b/>
          <w:bCs/>
        </w:rPr>
        <w:t>InSight_12</w:t>
      </w:r>
      <w:proofErr w:type="gramStart"/>
      <w:r>
        <w:rPr>
          <w:b/>
          <w:bCs/>
        </w:rPr>
        <w:t>:I</w:t>
      </w:r>
      <w:proofErr w:type="gramEnd"/>
      <w:r>
        <w:t xml:space="preserve"> and </w:t>
      </w:r>
      <w:r>
        <w:rPr>
          <w:b/>
          <w:bCs/>
        </w:rPr>
        <w:t>InSight_12:O</w:t>
      </w:r>
      <w:r>
        <w:t xml:space="preserve"> tags to the connection controller tags in the project so that they match the name given to the In-Sight vision system connection.</w:t>
      </w:r>
    </w:p>
    <w:p w:rsidR="00DB2ED2" w:rsidRDefault="00DB2ED2" w:rsidP="006C5F75">
      <w:pPr>
        <w:pStyle w:val="NormalWeb"/>
        <w:numPr>
          <w:ilvl w:val="1"/>
          <w:numId w:val="51"/>
        </w:numPr>
        <w:tabs>
          <w:tab w:val="clear" w:pos="1440"/>
          <w:tab w:val="num" w:pos="1080"/>
        </w:tabs>
      </w:pPr>
      <w:r>
        <w:t xml:space="preserve">If using In-Sight 5.x.x firmware, set the </w:t>
      </w:r>
      <w:r>
        <w:rPr>
          <w:b/>
          <w:bCs/>
        </w:rPr>
        <w:t>InSight_11:I1</w:t>
      </w:r>
      <w:r>
        <w:t xml:space="preserve"> and </w:t>
      </w:r>
      <w:r>
        <w:rPr>
          <w:b/>
          <w:bCs/>
        </w:rPr>
        <w:t>InSight_11:O1</w:t>
      </w:r>
      <w:r>
        <w:t xml:space="preserve"> tags to the connection controller tags in the project so that they match the name given to the In-Sight vision system connection.</w:t>
      </w:r>
    </w:p>
    <w:p w:rsidR="00DB2ED2" w:rsidRDefault="00DB2ED2" w:rsidP="00DB2ED2">
      <w:pPr>
        <w:pStyle w:val="image"/>
        <w:ind w:left="1440"/>
      </w:pPr>
      <w:r>
        <w:rPr>
          <w:noProof/>
        </w:rPr>
        <w:drawing>
          <wp:inline distT="0" distB="0" distL="0" distR="0">
            <wp:extent cx="5117649" cy="3225800"/>
            <wp:effectExtent l="0" t="0" r="6985" b="0"/>
            <wp:docPr id="37" name="Picture 37" descr="https://support.cognex.com/docs/is_574/web/EN/ise/Content/Images/EIP_L5X_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support.cognex.com/docs/is_574/web/EN/ise/Content/Images/EIP_L5X_04.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128862" cy="3232868"/>
                    </a:xfrm>
                    <a:prstGeom prst="rect">
                      <a:avLst/>
                    </a:prstGeom>
                    <a:noFill/>
                    <a:ln>
                      <a:noFill/>
                    </a:ln>
                  </pic:spPr>
                </pic:pic>
              </a:graphicData>
            </a:graphic>
          </wp:inline>
        </w:drawing>
      </w:r>
    </w:p>
    <w:p w:rsidR="00DB2ED2" w:rsidRDefault="00DB2ED2" w:rsidP="006C5F75">
      <w:pPr>
        <w:pStyle w:val="NormalWeb"/>
        <w:numPr>
          <w:ilvl w:val="0"/>
          <w:numId w:val="52"/>
        </w:numPr>
      </w:pPr>
      <w:r>
        <w:lastRenderedPageBreak/>
        <w:t xml:space="preserve">Click the </w:t>
      </w:r>
      <w:r>
        <w:rPr>
          <w:b/>
          <w:bCs/>
        </w:rPr>
        <w:t>OK</w:t>
      </w:r>
      <w:r>
        <w:t xml:space="preserve"> button of the Import Configuration dialog to close it. A rung will be added to the project, which includes the copy instructions for copying the data between the generic connection data and the structured data types included in the imported rung file.</w:t>
      </w:r>
    </w:p>
    <w:p w:rsidR="00DB2ED2" w:rsidRDefault="00DB2ED2" w:rsidP="00F9283E">
      <w:pPr>
        <w:pStyle w:val="image"/>
        <w:ind w:left="720" w:hanging="360"/>
      </w:pPr>
      <w:r>
        <w:rPr>
          <w:noProof/>
        </w:rPr>
        <w:drawing>
          <wp:inline distT="0" distB="0" distL="0" distR="0">
            <wp:extent cx="5702300" cy="1364444"/>
            <wp:effectExtent l="0" t="0" r="0" b="7620"/>
            <wp:docPr id="36" name="Picture 36" descr="https://support.cognex.com/docs/is_574/web/EN/ise/Content/Images/EIP_L5X_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support.cognex.com/docs/is_574/web/EN/ise/Content/Images/EIP_L5X_05.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51017" cy="1376101"/>
                    </a:xfrm>
                    <a:prstGeom prst="rect">
                      <a:avLst/>
                    </a:prstGeom>
                    <a:noFill/>
                    <a:ln>
                      <a:noFill/>
                    </a:ln>
                  </pic:spPr>
                </pic:pic>
              </a:graphicData>
            </a:graphic>
          </wp:inline>
        </w:drawing>
      </w:r>
    </w:p>
    <w:p w:rsidR="00DB2ED2" w:rsidRDefault="00DB2ED2" w:rsidP="00DB2ED2">
      <w:pPr>
        <w:pStyle w:val="NormalWeb"/>
        <w:ind w:left="720"/>
      </w:pPr>
      <w:r>
        <w:t xml:space="preserve">When writing your ladder program, reference the elements in the structured data variables; </w:t>
      </w:r>
      <w:proofErr w:type="gramStart"/>
      <w:r>
        <w:t>the</w:t>
      </w:r>
      <w:proofErr w:type="gramEnd"/>
      <w:r>
        <w:t xml:space="preserve"> copy rung above will automatically move the data to and from the structured data instances to the </w:t>
      </w:r>
      <w:proofErr w:type="spellStart"/>
      <w:r>
        <w:t>EtherNet</w:t>
      </w:r>
      <w:proofErr w:type="spellEnd"/>
      <w:r>
        <w:t>/IP connection. Download and run to get the tags to copy data initially, otherwise an array of SINTS will be all that is seen.</w:t>
      </w:r>
    </w:p>
    <w:p w:rsidR="00FC07DC" w:rsidRDefault="00FC07DC"/>
    <w:sectPr w:rsidR="00FC07DC">
      <w:headerReference w:type="even" r:id="rId53"/>
      <w:headerReference w:type="default" r:id="rId54"/>
      <w:footerReference w:type="even" r:id="rId55"/>
      <w:footerReference w:type="default" r:id="rId56"/>
      <w:headerReference w:type="first" r:id="rId57"/>
      <w:footerReference w:type="first" r:id="rId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2BF" w:rsidRDefault="00C762BF" w:rsidP="008F002E">
      <w:pPr>
        <w:spacing w:after="0" w:line="240" w:lineRule="auto"/>
      </w:pPr>
      <w:r>
        <w:separator/>
      </w:r>
    </w:p>
  </w:endnote>
  <w:endnote w:type="continuationSeparator" w:id="0">
    <w:p w:rsidR="00C762BF" w:rsidRDefault="00C762BF" w:rsidP="008F0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02E" w:rsidRDefault="008F00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0226038"/>
      <w:docPartObj>
        <w:docPartGallery w:val="Page Numbers (Bottom of Page)"/>
        <w:docPartUnique/>
      </w:docPartObj>
    </w:sdtPr>
    <w:sdtEndPr>
      <w:rPr>
        <w:noProof/>
      </w:rPr>
    </w:sdtEndPr>
    <w:sdtContent>
      <w:p w:rsidR="008F002E" w:rsidRDefault="008F002E">
        <w:pPr>
          <w:pStyle w:val="Footer"/>
          <w:jc w:val="right"/>
        </w:pPr>
        <w:r>
          <w:fldChar w:fldCharType="begin"/>
        </w:r>
        <w:r>
          <w:instrText xml:space="preserve"> PAGE   \* MERGEFORMAT </w:instrText>
        </w:r>
        <w:r>
          <w:fldChar w:fldCharType="separate"/>
        </w:r>
        <w:r w:rsidR="00870AAC">
          <w:rPr>
            <w:noProof/>
          </w:rPr>
          <w:t>19</w:t>
        </w:r>
        <w:r>
          <w:rPr>
            <w:noProof/>
          </w:rPr>
          <w:fldChar w:fldCharType="end"/>
        </w:r>
      </w:p>
    </w:sdtContent>
  </w:sdt>
  <w:p w:rsidR="008F002E" w:rsidRDefault="008F002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02E" w:rsidRDefault="008F00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2BF" w:rsidRDefault="00C762BF" w:rsidP="008F002E">
      <w:pPr>
        <w:spacing w:after="0" w:line="240" w:lineRule="auto"/>
      </w:pPr>
      <w:r>
        <w:separator/>
      </w:r>
    </w:p>
  </w:footnote>
  <w:footnote w:type="continuationSeparator" w:id="0">
    <w:p w:rsidR="00C762BF" w:rsidRDefault="00C762BF" w:rsidP="008F00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02E" w:rsidRDefault="008F00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02E" w:rsidRDefault="008F00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02E" w:rsidRDefault="008F00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A6242"/>
    <w:multiLevelType w:val="multilevel"/>
    <w:tmpl w:val="712AB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790B09"/>
    <w:multiLevelType w:val="multilevel"/>
    <w:tmpl w:val="20A24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A90362"/>
    <w:multiLevelType w:val="multilevel"/>
    <w:tmpl w:val="C7688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B37F16"/>
    <w:multiLevelType w:val="multilevel"/>
    <w:tmpl w:val="872AF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6E5EA9"/>
    <w:multiLevelType w:val="multilevel"/>
    <w:tmpl w:val="8726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041C4B"/>
    <w:multiLevelType w:val="multilevel"/>
    <w:tmpl w:val="22963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DD520D"/>
    <w:multiLevelType w:val="multilevel"/>
    <w:tmpl w:val="E95640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DE27FFC"/>
    <w:multiLevelType w:val="multilevel"/>
    <w:tmpl w:val="6CB6E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7910496"/>
    <w:multiLevelType w:val="multilevel"/>
    <w:tmpl w:val="4C6664A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9E00A69"/>
    <w:multiLevelType w:val="multilevel"/>
    <w:tmpl w:val="29CE2D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startOverride w:val="1"/>
    </w:lvlOverride>
  </w:num>
  <w:num w:numId="2">
    <w:abstractNumId w:val="1"/>
    <w:lvlOverride w:ilvl="0">
      <w:startOverride w:val="2"/>
    </w:lvlOverride>
  </w:num>
  <w:num w:numId="3">
    <w:abstractNumId w:val="1"/>
    <w:lvlOverride w:ilvl="0">
      <w:startOverride w:val="3"/>
    </w:lvlOverride>
  </w:num>
  <w:num w:numId="4">
    <w:abstractNumId w:val="9"/>
    <w:lvlOverride w:ilvl="0">
      <w:startOverride w:val="1"/>
    </w:lvlOverride>
  </w:num>
  <w:num w:numId="5">
    <w:abstractNumId w:val="9"/>
    <w:lvlOverride w:ilvl="0">
      <w:startOverride w:val="2"/>
    </w:lvlOverride>
  </w:num>
  <w:num w:numId="6">
    <w:abstractNumId w:val="9"/>
    <w:lvlOverride w:ilvl="0"/>
    <w:lvlOverride w:ilvl="1">
      <w:startOverride w:val="1"/>
    </w:lvlOverride>
  </w:num>
  <w:num w:numId="7">
    <w:abstractNumId w:val="9"/>
    <w:lvlOverride w:ilvl="0"/>
    <w:lvlOverride w:ilvl="1">
      <w:startOverride w:val="2"/>
    </w:lvlOverride>
  </w:num>
  <w:num w:numId="8">
    <w:abstractNumId w:val="9"/>
    <w:lvlOverride w:ilvl="0">
      <w:startOverride w:val="3"/>
    </w:lvlOverride>
    <w:lvlOverride w:ilvl="1"/>
  </w:num>
  <w:num w:numId="9">
    <w:abstractNumId w:val="7"/>
    <w:lvlOverride w:ilvl="0">
      <w:startOverride w:val="1"/>
    </w:lvlOverride>
  </w:num>
  <w:num w:numId="10">
    <w:abstractNumId w:val="7"/>
    <w:lvlOverride w:ilvl="0">
      <w:startOverride w:val="2"/>
    </w:lvlOverride>
  </w:num>
  <w:num w:numId="11">
    <w:abstractNumId w:val="7"/>
    <w:lvlOverride w:ilvl="0">
      <w:startOverride w:val="3"/>
    </w:lvlOverride>
  </w:num>
  <w:num w:numId="12">
    <w:abstractNumId w:val="2"/>
    <w:lvlOverride w:ilvl="0">
      <w:startOverride w:val="1"/>
    </w:lvlOverride>
  </w:num>
  <w:num w:numId="13">
    <w:abstractNumId w:val="2"/>
    <w:lvlOverride w:ilvl="0">
      <w:startOverride w:val="2"/>
    </w:lvlOverride>
  </w:num>
  <w:num w:numId="14">
    <w:abstractNumId w:val="2"/>
    <w:lvlOverride w:ilvl="0">
      <w:startOverride w:val="3"/>
    </w:lvlOverride>
  </w:num>
  <w:num w:numId="15">
    <w:abstractNumId w:val="2"/>
    <w:lvlOverride w:ilvl="0">
      <w:startOverride w:val="4"/>
    </w:lvlOverride>
  </w:num>
  <w:num w:numId="16">
    <w:abstractNumId w:val="2"/>
    <w:lvlOverride w:ilvl="0">
      <w:startOverride w:val="5"/>
    </w:lvlOverride>
  </w:num>
  <w:num w:numId="17">
    <w:abstractNumId w:val="2"/>
    <w:lvlOverride w:ilvl="0">
      <w:startOverride w:val="6"/>
    </w:lvlOverride>
  </w:num>
  <w:num w:numId="18">
    <w:abstractNumId w:val="8"/>
    <w:lvlOverride w:ilvl="0">
      <w:startOverride w:val="1"/>
    </w:lvlOverride>
  </w:num>
  <w:num w:numId="19">
    <w:abstractNumId w:val="8"/>
    <w:lvlOverride w:ilvl="0">
      <w:startOverride w:val="2"/>
    </w:lvlOverride>
  </w:num>
  <w:num w:numId="20">
    <w:abstractNumId w:val="8"/>
    <w:lvlOverride w:ilvl="0">
      <w:startOverride w:val="3"/>
    </w:lvlOverride>
  </w:num>
  <w:num w:numId="21">
    <w:abstractNumId w:val="8"/>
    <w:lvlOverride w:ilvl="0">
      <w:startOverride w:val="4"/>
    </w:lvlOverride>
  </w:num>
  <w:num w:numId="22">
    <w:abstractNumId w:val="8"/>
    <w:lvlOverride w:ilvl="0">
      <w:startOverride w:val="5"/>
    </w:lvlOverride>
  </w:num>
  <w:num w:numId="23">
    <w:abstractNumId w:val="8"/>
    <w:lvlOverride w:ilvl="0">
      <w:startOverride w:val="6"/>
    </w:lvlOverride>
  </w:num>
  <w:num w:numId="24">
    <w:abstractNumId w:val="8"/>
    <w:lvlOverride w:ilvl="0">
      <w:startOverride w:val="7"/>
    </w:lvlOverride>
  </w:num>
  <w:num w:numId="25">
    <w:abstractNumId w:val="8"/>
    <w:lvlOverride w:ilvl="0">
      <w:startOverride w:val="8"/>
    </w:lvlOverride>
  </w:num>
  <w:num w:numId="26">
    <w:abstractNumId w:val="8"/>
    <w:lvlOverride w:ilvl="0"/>
    <w:lvlOverride w:ilvl="1">
      <w:startOverride w:val="1"/>
    </w:lvlOverride>
  </w:num>
  <w:num w:numId="27">
    <w:abstractNumId w:val="8"/>
    <w:lvlOverride w:ilvl="0"/>
    <w:lvlOverride w:ilvl="1">
      <w:startOverride w:val="2"/>
    </w:lvlOverride>
  </w:num>
  <w:num w:numId="28">
    <w:abstractNumId w:val="5"/>
    <w:lvlOverride w:ilvl="0">
      <w:startOverride w:val="1"/>
    </w:lvlOverride>
  </w:num>
  <w:num w:numId="29">
    <w:abstractNumId w:val="5"/>
    <w:lvlOverride w:ilvl="0">
      <w:startOverride w:val="2"/>
    </w:lvlOverride>
  </w:num>
  <w:num w:numId="30">
    <w:abstractNumId w:val="3"/>
    <w:lvlOverride w:ilvl="0">
      <w:startOverride w:val="1"/>
    </w:lvlOverride>
  </w:num>
  <w:num w:numId="31">
    <w:abstractNumId w:val="3"/>
    <w:lvlOverride w:ilvl="0">
      <w:startOverride w:val="2"/>
    </w:lvlOverride>
  </w:num>
  <w:num w:numId="32">
    <w:abstractNumId w:val="3"/>
    <w:lvlOverride w:ilvl="0">
      <w:startOverride w:val="3"/>
    </w:lvlOverride>
  </w:num>
  <w:num w:numId="33">
    <w:abstractNumId w:val="3"/>
    <w:lvlOverride w:ilvl="0">
      <w:startOverride w:val="4"/>
    </w:lvlOverride>
  </w:num>
  <w:num w:numId="34">
    <w:abstractNumId w:val="3"/>
    <w:lvlOverride w:ilvl="0">
      <w:startOverride w:val="5"/>
    </w:lvlOverride>
  </w:num>
  <w:num w:numId="35">
    <w:abstractNumId w:val="3"/>
    <w:lvlOverride w:ilvl="0">
      <w:startOverride w:val="6"/>
    </w:lvlOverride>
  </w:num>
  <w:num w:numId="36">
    <w:abstractNumId w:val="3"/>
    <w:lvlOverride w:ilvl="0">
      <w:startOverride w:val="7"/>
    </w:lvlOverride>
  </w:num>
  <w:num w:numId="37">
    <w:abstractNumId w:val="3"/>
    <w:lvlOverride w:ilvl="0">
      <w:startOverride w:val="8"/>
    </w:lvlOverride>
  </w:num>
  <w:num w:numId="38">
    <w:abstractNumId w:val="0"/>
    <w:lvlOverride w:ilvl="0">
      <w:startOverride w:val="1"/>
    </w:lvlOverride>
  </w:num>
  <w:num w:numId="39">
    <w:abstractNumId w:val="0"/>
    <w:lvlOverride w:ilvl="0">
      <w:startOverride w:val="2"/>
    </w:lvlOverride>
  </w:num>
  <w:num w:numId="40">
    <w:abstractNumId w:val="0"/>
    <w:lvlOverride w:ilvl="0">
      <w:startOverride w:val="3"/>
    </w:lvlOverride>
  </w:num>
  <w:num w:numId="41">
    <w:abstractNumId w:val="6"/>
    <w:lvlOverride w:ilvl="0">
      <w:startOverride w:val="1"/>
    </w:lvlOverride>
  </w:num>
  <w:num w:numId="42">
    <w:abstractNumId w:val="6"/>
    <w:lvlOverride w:ilvl="0">
      <w:startOverride w:val="2"/>
    </w:lvlOverride>
  </w:num>
  <w:num w:numId="43">
    <w:abstractNumId w:val="6"/>
    <w:lvlOverride w:ilvl="0">
      <w:startOverride w:val="3"/>
    </w:lvlOverride>
  </w:num>
  <w:num w:numId="44">
    <w:abstractNumId w:val="6"/>
    <w:lvlOverride w:ilvl="0">
      <w:startOverride w:val="4"/>
    </w:lvlOverride>
  </w:num>
  <w:num w:numId="45">
    <w:abstractNumId w:val="6"/>
    <w:lvlOverride w:ilvl="0">
      <w:startOverride w:val="5"/>
    </w:lvlOverride>
  </w:num>
  <w:num w:numId="46">
    <w:abstractNumId w:val="6"/>
    <w:lvlOverride w:ilvl="0">
      <w:startOverride w:val="6"/>
    </w:lvlOverride>
  </w:num>
  <w:num w:numId="47">
    <w:abstractNumId w:val="6"/>
    <w:lvlOverride w:ilvl="0"/>
    <w:lvlOverride w:ilvl="1">
      <w:startOverride w:val="1"/>
    </w:lvlOverride>
  </w:num>
  <w:num w:numId="48">
    <w:abstractNumId w:val="6"/>
    <w:lvlOverride w:ilvl="0"/>
    <w:lvlOverride w:ilvl="1">
      <w:startOverride w:val="2"/>
    </w:lvlOverride>
  </w:num>
  <w:num w:numId="49">
    <w:abstractNumId w:val="6"/>
    <w:lvlOverride w:ilvl="0">
      <w:startOverride w:val="7"/>
    </w:lvlOverride>
    <w:lvlOverride w:ilvl="1"/>
  </w:num>
  <w:num w:numId="50">
    <w:abstractNumId w:val="6"/>
    <w:lvlOverride w:ilvl="0"/>
    <w:lvlOverride w:ilvl="1">
      <w:startOverride w:val="1"/>
    </w:lvlOverride>
  </w:num>
  <w:num w:numId="51">
    <w:abstractNumId w:val="6"/>
    <w:lvlOverride w:ilvl="0"/>
    <w:lvlOverride w:ilvl="1">
      <w:startOverride w:val="2"/>
    </w:lvlOverride>
  </w:num>
  <w:num w:numId="52">
    <w:abstractNumId w:val="6"/>
    <w:lvlOverride w:ilvl="0">
      <w:startOverride w:val="8"/>
    </w:lvlOverride>
    <w:lvlOverride w:ilvl="1"/>
  </w:num>
  <w:num w:numId="53">
    <w:abstractNumId w:val="4"/>
    <w:lvlOverride w:ilvl="0">
      <w:startOverride w:val="1"/>
    </w:lvlOverride>
  </w:num>
  <w:num w:numId="54">
    <w:abstractNumId w:val="4"/>
    <w:lvlOverride w:ilvl="0">
      <w:startOverride w:val="2"/>
    </w:lvlOverride>
  </w:num>
  <w:num w:numId="55">
    <w:abstractNumId w:val="4"/>
    <w:lvlOverride w:ilvl="0">
      <w:startOverride w:val="3"/>
    </w:lvlOverride>
  </w:num>
  <w:num w:numId="56">
    <w:abstractNumId w:val="4"/>
    <w:lvlOverride w:ilvl="0">
      <w:startOverride w:val="4"/>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58D"/>
    <w:rsid w:val="00287D76"/>
    <w:rsid w:val="00365A9C"/>
    <w:rsid w:val="00376858"/>
    <w:rsid w:val="005429BD"/>
    <w:rsid w:val="006C5F75"/>
    <w:rsid w:val="00810CD1"/>
    <w:rsid w:val="00870AAC"/>
    <w:rsid w:val="008E326A"/>
    <w:rsid w:val="008F002E"/>
    <w:rsid w:val="009A18BE"/>
    <w:rsid w:val="00B17CBF"/>
    <w:rsid w:val="00C762BF"/>
    <w:rsid w:val="00DB2ED2"/>
    <w:rsid w:val="00DD458D"/>
    <w:rsid w:val="00F9283E"/>
    <w:rsid w:val="00FB1980"/>
    <w:rsid w:val="00FC0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E41BD0-F840-4493-92E3-7A7E73C2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D458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FC07D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C07D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C07D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458D"/>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DD45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lobalglobaldevicelowercase">
    <w:name w:val="global/globaldevice_lowercase"/>
    <w:basedOn w:val="DefaultParagraphFont"/>
    <w:rsid w:val="00DD458D"/>
  </w:style>
  <w:style w:type="paragraph" w:customStyle="1" w:styleId="minitoc10">
    <w:name w:val="minitoc1_0"/>
    <w:basedOn w:val="Normal"/>
    <w:rsid w:val="00DD458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D458D"/>
    <w:rPr>
      <w:color w:val="0000FF"/>
      <w:u w:val="single"/>
    </w:rPr>
  </w:style>
  <w:style w:type="character" w:customStyle="1" w:styleId="isvidivisionsystemsingular">
    <w:name w:val="isvidivisionsystem_singular"/>
    <w:basedOn w:val="DefaultParagraphFont"/>
    <w:rsid w:val="00DD458D"/>
  </w:style>
  <w:style w:type="character" w:customStyle="1" w:styleId="isvidigsdpathd900">
    <w:name w:val="isvidigsd_path_d900"/>
    <w:basedOn w:val="DefaultParagraphFont"/>
    <w:rsid w:val="00DD458D"/>
  </w:style>
  <w:style w:type="character" w:customStyle="1" w:styleId="vidividisetideisvidi">
    <w:name w:val="vidi/vidi_setide_isvidi"/>
    <w:basedOn w:val="DefaultParagraphFont"/>
    <w:rsid w:val="00DD458D"/>
  </w:style>
  <w:style w:type="character" w:customStyle="1" w:styleId="isvidigsdpathisvidipc">
    <w:name w:val="isvidigsd_path_isvidipc"/>
    <w:basedOn w:val="DefaultParagraphFont"/>
    <w:rsid w:val="00DD458D"/>
  </w:style>
  <w:style w:type="character" w:customStyle="1" w:styleId="globalglobaldeviceuppercase">
    <w:name w:val="global/globaldevice_uppercase"/>
    <w:basedOn w:val="DefaultParagraphFont"/>
    <w:rsid w:val="00DD458D"/>
  </w:style>
  <w:style w:type="character" w:customStyle="1" w:styleId="isvidishellname">
    <w:name w:val="isvidishellname"/>
    <w:basedOn w:val="DefaultParagraphFont"/>
    <w:rsid w:val="00DD458D"/>
  </w:style>
  <w:style w:type="character" w:customStyle="1" w:styleId="autonumber">
    <w:name w:val="autonumber"/>
    <w:basedOn w:val="DefaultParagraphFont"/>
    <w:rsid w:val="00DD458D"/>
  </w:style>
  <w:style w:type="character" w:customStyle="1" w:styleId="pre">
    <w:name w:val="pre"/>
    <w:basedOn w:val="DefaultParagraphFont"/>
    <w:rsid w:val="00DD458D"/>
  </w:style>
  <w:style w:type="character" w:customStyle="1" w:styleId="Heading2Char">
    <w:name w:val="Heading 2 Char"/>
    <w:basedOn w:val="DefaultParagraphFont"/>
    <w:link w:val="Heading2"/>
    <w:uiPriority w:val="9"/>
    <w:semiHidden/>
    <w:rsid w:val="00FC07DC"/>
    <w:rPr>
      <w:rFonts w:asciiTheme="majorHAnsi" w:eastAsiaTheme="majorEastAsia" w:hAnsiTheme="majorHAnsi" w:cstheme="majorBidi"/>
      <w:color w:val="2E74B5" w:themeColor="accent1" w:themeShade="BF"/>
      <w:sz w:val="26"/>
      <w:szCs w:val="26"/>
    </w:rPr>
  </w:style>
  <w:style w:type="character" w:customStyle="1" w:styleId="systemtitle">
    <w:name w:val="systemtitle"/>
    <w:basedOn w:val="DefaultParagraphFont"/>
    <w:rsid w:val="00FC07DC"/>
  </w:style>
  <w:style w:type="character" w:customStyle="1" w:styleId="Heading3Char">
    <w:name w:val="Heading 3 Char"/>
    <w:basedOn w:val="DefaultParagraphFont"/>
    <w:link w:val="Heading3"/>
    <w:uiPriority w:val="9"/>
    <w:semiHidden/>
    <w:rsid w:val="00FC07D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C07DC"/>
    <w:rPr>
      <w:rFonts w:asciiTheme="majorHAnsi" w:eastAsiaTheme="majorEastAsia" w:hAnsiTheme="majorHAnsi" w:cstheme="majorBidi"/>
      <w:i/>
      <w:iCs/>
      <w:color w:val="2E74B5" w:themeColor="accent1" w:themeShade="BF"/>
    </w:rPr>
  </w:style>
  <w:style w:type="paragraph" w:customStyle="1" w:styleId="image">
    <w:name w:val="image"/>
    <w:basedOn w:val="Normal"/>
    <w:rsid w:val="00FC07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cdropdownhead">
    <w:name w:val="mcdropdownhead"/>
    <w:basedOn w:val="DefaultParagraphFont"/>
    <w:rsid w:val="00FC07DC"/>
  </w:style>
  <w:style w:type="character" w:styleId="FollowedHyperlink">
    <w:name w:val="FollowedHyperlink"/>
    <w:basedOn w:val="DefaultParagraphFont"/>
    <w:uiPriority w:val="99"/>
    <w:semiHidden/>
    <w:unhideWhenUsed/>
    <w:rsid w:val="00DB2ED2"/>
    <w:rPr>
      <w:color w:val="954F72" w:themeColor="followedHyperlink"/>
      <w:u w:val="single"/>
    </w:rPr>
  </w:style>
  <w:style w:type="paragraph" w:styleId="Header">
    <w:name w:val="header"/>
    <w:basedOn w:val="Normal"/>
    <w:link w:val="HeaderChar"/>
    <w:uiPriority w:val="99"/>
    <w:unhideWhenUsed/>
    <w:rsid w:val="008F00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002E"/>
  </w:style>
  <w:style w:type="paragraph" w:styleId="Footer">
    <w:name w:val="footer"/>
    <w:basedOn w:val="Normal"/>
    <w:link w:val="FooterChar"/>
    <w:uiPriority w:val="99"/>
    <w:unhideWhenUsed/>
    <w:rsid w:val="008F00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00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1277">
      <w:bodyDiv w:val="1"/>
      <w:marLeft w:val="0"/>
      <w:marRight w:val="0"/>
      <w:marTop w:val="0"/>
      <w:marBottom w:val="0"/>
      <w:divBdr>
        <w:top w:val="none" w:sz="0" w:space="0" w:color="auto"/>
        <w:left w:val="none" w:sz="0" w:space="0" w:color="auto"/>
        <w:bottom w:val="none" w:sz="0" w:space="0" w:color="auto"/>
        <w:right w:val="none" w:sz="0" w:space="0" w:color="auto"/>
      </w:divBdr>
    </w:div>
    <w:div w:id="150752820">
      <w:bodyDiv w:val="1"/>
      <w:marLeft w:val="0"/>
      <w:marRight w:val="0"/>
      <w:marTop w:val="0"/>
      <w:marBottom w:val="0"/>
      <w:divBdr>
        <w:top w:val="none" w:sz="0" w:space="0" w:color="auto"/>
        <w:left w:val="none" w:sz="0" w:space="0" w:color="auto"/>
        <w:bottom w:val="none" w:sz="0" w:space="0" w:color="auto"/>
        <w:right w:val="none" w:sz="0" w:space="0" w:color="auto"/>
      </w:divBdr>
      <w:divsChild>
        <w:div w:id="1393314378">
          <w:marLeft w:val="0"/>
          <w:marRight w:val="0"/>
          <w:marTop w:val="0"/>
          <w:marBottom w:val="0"/>
          <w:divBdr>
            <w:top w:val="none" w:sz="0" w:space="0" w:color="auto"/>
            <w:left w:val="none" w:sz="0" w:space="0" w:color="auto"/>
            <w:bottom w:val="none" w:sz="0" w:space="0" w:color="auto"/>
            <w:right w:val="none" w:sz="0" w:space="0" w:color="auto"/>
          </w:divBdr>
          <w:divsChild>
            <w:div w:id="769009562">
              <w:marLeft w:val="0"/>
              <w:marRight w:val="0"/>
              <w:marTop w:val="120"/>
              <w:marBottom w:val="120"/>
              <w:divBdr>
                <w:top w:val="single" w:sz="6" w:space="5" w:color="000000"/>
                <w:left w:val="none" w:sz="0" w:space="0" w:color="auto"/>
                <w:bottom w:val="single" w:sz="6" w:space="5" w:color="000000"/>
                <w:right w:val="none" w:sz="0" w:space="0" w:color="auto"/>
              </w:divBdr>
            </w:div>
          </w:divsChild>
        </w:div>
      </w:divsChild>
    </w:div>
    <w:div w:id="338656804">
      <w:bodyDiv w:val="1"/>
      <w:marLeft w:val="0"/>
      <w:marRight w:val="0"/>
      <w:marTop w:val="0"/>
      <w:marBottom w:val="0"/>
      <w:divBdr>
        <w:top w:val="none" w:sz="0" w:space="0" w:color="auto"/>
        <w:left w:val="none" w:sz="0" w:space="0" w:color="auto"/>
        <w:bottom w:val="none" w:sz="0" w:space="0" w:color="auto"/>
        <w:right w:val="none" w:sz="0" w:space="0" w:color="auto"/>
      </w:divBdr>
      <w:divsChild>
        <w:div w:id="1594699993">
          <w:marLeft w:val="0"/>
          <w:marRight w:val="0"/>
          <w:marTop w:val="0"/>
          <w:marBottom w:val="0"/>
          <w:divBdr>
            <w:top w:val="none" w:sz="0" w:space="0" w:color="auto"/>
            <w:left w:val="none" w:sz="0" w:space="0" w:color="auto"/>
            <w:bottom w:val="none" w:sz="0" w:space="0" w:color="auto"/>
            <w:right w:val="none" w:sz="0" w:space="0" w:color="auto"/>
          </w:divBdr>
          <w:divsChild>
            <w:div w:id="793327312">
              <w:marLeft w:val="0"/>
              <w:marRight w:val="0"/>
              <w:marTop w:val="120"/>
              <w:marBottom w:val="120"/>
              <w:divBdr>
                <w:top w:val="single" w:sz="6" w:space="5" w:color="000000"/>
                <w:left w:val="none" w:sz="0" w:space="0" w:color="auto"/>
                <w:bottom w:val="single" w:sz="6" w:space="5" w:color="000000"/>
                <w:right w:val="none" w:sz="0" w:space="0" w:color="auto"/>
              </w:divBdr>
            </w:div>
          </w:divsChild>
        </w:div>
      </w:divsChild>
    </w:div>
    <w:div w:id="562836501">
      <w:bodyDiv w:val="1"/>
      <w:marLeft w:val="0"/>
      <w:marRight w:val="0"/>
      <w:marTop w:val="0"/>
      <w:marBottom w:val="0"/>
      <w:divBdr>
        <w:top w:val="none" w:sz="0" w:space="0" w:color="auto"/>
        <w:left w:val="none" w:sz="0" w:space="0" w:color="auto"/>
        <w:bottom w:val="none" w:sz="0" w:space="0" w:color="auto"/>
        <w:right w:val="none" w:sz="0" w:space="0" w:color="auto"/>
      </w:divBdr>
      <w:divsChild>
        <w:div w:id="1004820120">
          <w:marLeft w:val="0"/>
          <w:marRight w:val="0"/>
          <w:marTop w:val="0"/>
          <w:marBottom w:val="0"/>
          <w:divBdr>
            <w:top w:val="none" w:sz="0" w:space="0" w:color="auto"/>
            <w:left w:val="none" w:sz="0" w:space="0" w:color="auto"/>
            <w:bottom w:val="none" w:sz="0" w:space="0" w:color="auto"/>
            <w:right w:val="none" w:sz="0" w:space="0" w:color="auto"/>
          </w:divBdr>
        </w:div>
      </w:divsChild>
    </w:div>
    <w:div w:id="601108043">
      <w:bodyDiv w:val="1"/>
      <w:marLeft w:val="0"/>
      <w:marRight w:val="0"/>
      <w:marTop w:val="0"/>
      <w:marBottom w:val="0"/>
      <w:divBdr>
        <w:top w:val="none" w:sz="0" w:space="0" w:color="auto"/>
        <w:left w:val="none" w:sz="0" w:space="0" w:color="auto"/>
        <w:bottom w:val="none" w:sz="0" w:space="0" w:color="auto"/>
        <w:right w:val="none" w:sz="0" w:space="0" w:color="auto"/>
      </w:divBdr>
      <w:divsChild>
        <w:div w:id="1210144532">
          <w:marLeft w:val="0"/>
          <w:marRight w:val="0"/>
          <w:marTop w:val="0"/>
          <w:marBottom w:val="0"/>
          <w:divBdr>
            <w:top w:val="none" w:sz="0" w:space="0" w:color="auto"/>
            <w:left w:val="none" w:sz="0" w:space="0" w:color="auto"/>
            <w:bottom w:val="none" w:sz="0" w:space="0" w:color="auto"/>
            <w:right w:val="none" w:sz="0" w:space="0" w:color="auto"/>
          </w:divBdr>
        </w:div>
        <w:div w:id="732889339">
          <w:marLeft w:val="0"/>
          <w:marRight w:val="0"/>
          <w:marTop w:val="0"/>
          <w:marBottom w:val="0"/>
          <w:divBdr>
            <w:top w:val="none" w:sz="0" w:space="0" w:color="auto"/>
            <w:left w:val="none" w:sz="0" w:space="0" w:color="auto"/>
            <w:bottom w:val="none" w:sz="0" w:space="0" w:color="auto"/>
            <w:right w:val="none" w:sz="0" w:space="0" w:color="auto"/>
          </w:divBdr>
        </w:div>
        <w:div w:id="342705356">
          <w:marLeft w:val="0"/>
          <w:marRight w:val="0"/>
          <w:marTop w:val="0"/>
          <w:marBottom w:val="0"/>
          <w:divBdr>
            <w:top w:val="none" w:sz="0" w:space="0" w:color="auto"/>
            <w:left w:val="none" w:sz="0" w:space="0" w:color="auto"/>
            <w:bottom w:val="none" w:sz="0" w:space="0" w:color="auto"/>
            <w:right w:val="none" w:sz="0" w:space="0" w:color="auto"/>
          </w:divBdr>
        </w:div>
        <w:div w:id="1363244285">
          <w:marLeft w:val="0"/>
          <w:marRight w:val="0"/>
          <w:marTop w:val="0"/>
          <w:marBottom w:val="0"/>
          <w:divBdr>
            <w:top w:val="none" w:sz="0" w:space="0" w:color="auto"/>
            <w:left w:val="none" w:sz="0" w:space="0" w:color="auto"/>
            <w:bottom w:val="none" w:sz="0" w:space="0" w:color="auto"/>
            <w:right w:val="none" w:sz="0" w:space="0" w:color="auto"/>
          </w:divBdr>
        </w:div>
        <w:div w:id="1718121520">
          <w:marLeft w:val="0"/>
          <w:marRight w:val="0"/>
          <w:marTop w:val="0"/>
          <w:marBottom w:val="0"/>
          <w:divBdr>
            <w:top w:val="none" w:sz="0" w:space="0" w:color="auto"/>
            <w:left w:val="none" w:sz="0" w:space="0" w:color="auto"/>
            <w:bottom w:val="none" w:sz="0" w:space="0" w:color="auto"/>
            <w:right w:val="none" w:sz="0" w:space="0" w:color="auto"/>
          </w:divBdr>
        </w:div>
        <w:div w:id="17510695">
          <w:marLeft w:val="0"/>
          <w:marRight w:val="0"/>
          <w:marTop w:val="0"/>
          <w:marBottom w:val="0"/>
          <w:divBdr>
            <w:top w:val="none" w:sz="0" w:space="0" w:color="auto"/>
            <w:left w:val="none" w:sz="0" w:space="0" w:color="auto"/>
            <w:bottom w:val="none" w:sz="0" w:space="0" w:color="auto"/>
            <w:right w:val="none" w:sz="0" w:space="0" w:color="auto"/>
          </w:divBdr>
        </w:div>
        <w:div w:id="1293973954">
          <w:marLeft w:val="0"/>
          <w:marRight w:val="0"/>
          <w:marTop w:val="0"/>
          <w:marBottom w:val="0"/>
          <w:divBdr>
            <w:top w:val="none" w:sz="0" w:space="0" w:color="auto"/>
            <w:left w:val="none" w:sz="0" w:space="0" w:color="auto"/>
            <w:bottom w:val="none" w:sz="0" w:space="0" w:color="auto"/>
            <w:right w:val="none" w:sz="0" w:space="0" w:color="auto"/>
          </w:divBdr>
        </w:div>
        <w:div w:id="591478532">
          <w:marLeft w:val="0"/>
          <w:marRight w:val="0"/>
          <w:marTop w:val="0"/>
          <w:marBottom w:val="0"/>
          <w:divBdr>
            <w:top w:val="none" w:sz="0" w:space="0" w:color="auto"/>
            <w:left w:val="none" w:sz="0" w:space="0" w:color="auto"/>
            <w:bottom w:val="none" w:sz="0" w:space="0" w:color="auto"/>
            <w:right w:val="none" w:sz="0" w:space="0" w:color="auto"/>
          </w:divBdr>
        </w:div>
        <w:div w:id="199781504">
          <w:marLeft w:val="0"/>
          <w:marRight w:val="0"/>
          <w:marTop w:val="0"/>
          <w:marBottom w:val="0"/>
          <w:divBdr>
            <w:top w:val="none" w:sz="0" w:space="0" w:color="auto"/>
            <w:left w:val="none" w:sz="0" w:space="0" w:color="auto"/>
            <w:bottom w:val="none" w:sz="0" w:space="0" w:color="auto"/>
            <w:right w:val="none" w:sz="0" w:space="0" w:color="auto"/>
          </w:divBdr>
        </w:div>
        <w:div w:id="627586254">
          <w:marLeft w:val="0"/>
          <w:marRight w:val="0"/>
          <w:marTop w:val="0"/>
          <w:marBottom w:val="0"/>
          <w:divBdr>
            <w:top w:val="none" w:sz="0" w:space="0" w:color="auto"/>
            <w:left w:val="none" w:sz="0" w:space="0" w:color="auto"/>
            <w:bottom w:val="none" w:sz="0" w:space="0" w:color="auto"/>
            <w:right w:val="none" w:sz="0" w:space="0" w:color="auto"/>
          </w:divBdr>
        </w:div>
        <w:div w:id="1828016681">
          <w:marLeft w:val="0"/>
          <w:marRight w:val="0"/>
          <w:marTop w:val="0"/>
          <w:marBottom w:val="0"/>
          <w:divBdr>
            <w:top w:val="none" w:sz="0" w:space="0" w:color="auto"/>
            <w:left w:val="none" w:sz="0" w:space="0" w:color="auto"/>
            <w:bottom w:val="none" w:sz="0" w:space="0" w:color="auto"/>
            <w:right w:val="none" w:sz="0" w:space="0" w:color="auto"/>
          </w:divBdr>
        </w:div>
      </w:divsChild>
    </w:div>
    <w:div w:id="660742801">
      <w:bodyDiv w:val="1"/>
      <w:marLeft w:val="0"/>
      <w:marRight w:val="0"/>
      <w:marTop w:val="0"/>
      <w:marBottom w:val="0"/>
      <w:divBdr>
        <w:top w:val="none" w:sz="0" w:space="0" w:color="auto"/>
        <w:left w:val="none" w:sz="0" w:space="0" w:color="auto"/>
        <w:bottom w:val="none" w:sz="0" w:space="0" w:color="auto"/>
        <w:right w:val="none" w:sz="0" w:space="0" w:color="auto"/>
      </w:divBdr>
    </w:div>
    <w:div w:id="929310968">
      <w:bodyDiv w:val="1"/>
      <w:marLeft w:val="0"/>
      <w:marRight w:val="0"/>
      <w:marTop w:val="0"/>
      <w:marBottom w:val="0"/>
      <w:divBdr>
        <w:top w:val="none" w:sz="0" w:space="0" w:color="auto"/>
        <w:left w:val="none" w:sz="0" w:space="0" w:color="auto"/>
        <w:bottom w:val="none" w:sz="0" w:space="0" w:color="auto"/>
        <w:right w:val="none" w:sz="0" w:space="0" w:color="auto"/>
      </w:divBdr>
      <w:divsChild>
        <w:div w:id="328293503">
          <w:marLeft w:val="0"/>
          <w:marRight w:val="0"/>
          <w:marTop w:val="0"/>
          <w:marBottom w:val="0"/>
          <w:divBdr>
            <w:top w:val="none" w:sz="0" w:space="0" w:color="auto"/>
            <w:left w:val="none" w:sz="0" w:space="0" w:color="auto"/>
            <w:bottom w:val="none" w:sz="0" w:space="0" w:color="auto"/>
            <w:right w:val="none" w:sz="0" w:space="0" w:color="auto"/>
          </w:divBdr>
        </w:div>
        <w:div w:id="315647461">
          <w:marLeft w:val="0"/>
          <w:marRight w:val="0"/>
          <w:marTop w:val="300"/>
          <w:marBottom w:val="0"/>
          <w:divBdr>
            <w:top w:val="none" w:sz="0" w:space="0" w:color="auto"/>
            <w:left w:val="none" w:sz="0" w:space="0" w:color="auto"/>
            <w:bottom w:val="none" w:sz="0" w:space="0" w:color="auto"/>
            <w:right w:val="none" w:sz="0" w:space="0" w:color="auto"/>
          </w:divBdr>
        </w:div>
      </w:divsChild>
    </w:div>
    <w:div w:id="1315644521">
      <w:bodyDiv w:val="1"/>
      <w:marLeft w:val="0"/>
      <w:marRight w:val="0"/>
      <w:marTop w:val="0"/>
      <w:marBottom w:val="0"/>
      <w:divBdr>
        <w:top w:val="none" w:sz="0" w:space="0" w:color="auto"/>
        <w:left w:val="none" w:sz="0" w:space="0" w:color="auto"/>
        <w:bottom w:val="none" w:sz="0" w:space="0" w:color="auto"/>
        <w:right w:val="none" w:sz="0" w:space="0" w:color="auto"/>
      </w:divBdr>
      <w:divsChild>
        <w:div w:id="1436367725">
          <w:marLeft w:val="0"/>
          <w:marRight w:val="0"/>
          <w:marTop w:val="0"/>
          <w:marBottom w:val="0"/>
          <w:divBdr>
            <w:top w:val="none" w:sz="0" w:space="0" w:color="auto"/>
            <w:left w:val="none" w:sz="0" w:space="0" w:color="auto"/>
            <w:bottom w:val="none" w:sz="0" w:space="0" w:color="auto"/>
            <w:right w:val="none" w:sz="0" w:space="0" w:color="auto"/>
          </w:divBdr>
          <w:divsChild>
            <w:div w:id="3512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542148">
      <w:bodyDiv w:val="1"/>
      <w:marLeft w:val="0"/>
      <w:marRight w:val="0"/>
      <w:marTop w:val="0"/>
      <w:marBottom w:val="0"/>
      <w:divBdr>
        <w:top w:val="none" w:sz="0" w:space="0" w:color="auto"/>
        <w:left w:val="none" w:sz="0" w:space="0" w:color="auto"/>
        <w:bottom w:val="none" w:sz="0" w:space="0" w:color="auto"/>
        <w:right w:val="none" w:sz="0" w:space="0" w:color="auto"/>
      </w:divBdr>
      <w:divsChild>
        <w:div w:id="363753358">
          <w:marLeft w:val="0"/>
          <w:marRight w:val="0"/>
          <w:marTop w:val="0"/>
          <w:marBottom w:val="0"/>
          <w:divBdr>
            <w:top w:val="none" w:sz="0" w:space="0" w:color="auto"/>
            <w:left w:val="none" w:sz="0" w:space="0" w:color="auto"/>
            <w:bottom w:val="none" w:sz="0" w:space="0" w:color="auto"/>
            <w:right w:val="none" w:sz="0" w:space="0" w:color="auto"/>
          </w:divBdr>
          <w:divsChild>
            <w:div w:id="1278295228">
              <w:marLeft w:val="0"/>
              <w:marRight w:val="0"/>
              <w:marTop w:val="120"/>
              <w:marBottom w:val="120"/>
              <w:divBdr>
                <w:top w:val="single" w:sz="6" w:space="5" w:color="000000"/>
                <w:left w:val="none" w:sz="0" w:space="0" w:color="auto"/>
                <w:bottom w:val="single" w:sz="6" w:space="5" w:color="000000"/>
                <w:right w:val="none" w:sz="0" w:space="0" w:color="auto"/>
              </w:divBdr>
            </w:div>
          </w:divsChild>
        </w:div>
      </w:divsChild>
    </w:div>
    <w:div w:id="1510484733">
      <w:bodyDiv w:val="1"/>
      <w:marLeft w:val="0"/>
      <w:marRight w:val="0"/>
      <w:marTop w:val="0"/>
      <w:marBottom w:val="0"/>
      <w:divBdr>
        <w:top w:val="none" w:sz="0" w:space="0" w:color="auto"/>
        <w:left w:val="none" w:sz="0" w:space="0" w:color="auto"/>
        <w:bottom w:val="none" w:sz="0" w:space="0" w:color="auto"/>
        <w:right w:val="none" w:sz="0" w:space="0" w:color="auto"/>
      </w:divBdr>
      <w:divsChild>
        <w:div w:id="1555851530">
          <w:marLeft w:val="0"/>
          <w:marRight w:val="0"/>
          <w:marTop w:val="0"/>
          <w:marBottom w:val="0"/>
          <w:divBdr>
            <w:top w:val="none" w:sz="0" w:space="0" w:color="auto"/>
            <w:left w:val="none" w:sz="0" w:space="0" w:color="auto"/>
            <w:bottom w:val="none" w:sz="0" w:space="0" w:color="auto"/>
            <w:right w:val="none" w:sz="0" w:space="0" w:color="auto"/>
          </w:divBdr>
        </w:div>
      </w:divsChild>
    </w:div>
    <w:div w:id="1758942850">
      <w:bodyDiv w:val="1"/>
      <w:marLeft w:val="0"/>
      <w:marRight w:val="0"/>
      <w:marTop w:val="0"/>
      <w:marBottom w:val="0"/>
      <w:divBdr>
        <w:top w:val="none" w:sz="0" w:space="0" w:color="auto"/>
        <w:left w:val="none" w:sz="0" w:space="0" w:color="auto"/>
        <w:bottom w:val="none" w:sz="0" w:space="0" w:color="auto"/>
        <w:right w:val="none" w:sz="0" w:space="0" w:color="auto"/>
      </w:divBdr>
      <w:divsChild>
        <w:div w:id="703822292">
          <w:marLeft w:val="0"/>
          <w:marRight w:val="0"/>
          <w:marTop w:val="0"/>
          <w:marBottom w:val="0"/>
          <w:divBdr>
            <w:top w:val="none" w:sz="0" w:space="0" w:color="auto"/>
            <w:left w:val="none" w:sz="0" w:space="0" w:color="auto"/>
            <w:bottom w:val="none" w:sz="0" w:space="0" w:color="auto"/>
            <w:right w:val="none" w:sz="0" w:space="0" w:color="auto"/>
          </w:divBdr>
        </w:div>
        <w:div w:id="153032311">
          <w:marLeft w:val="0"/>
          <w:marRight w:val="0"/>
          <w:marTop w:val="0"/>
          <w:marBottom w:val="0"/>
          <w:divBdr>
            <w:top w:val="none" w:sz="0" w:space="0" w:color="auto"/>
            <w:left w:val="none" w:sz="0" w:space="0" w:color="auto"/>
            <w:bottom w:val="none" w:sz="0" w:space="0" w:color="auto"/>
            <w:right w:val="none" w:sz="0" w:space="0" w:color="auto"/>
          </w:divBdr>
        </w:div>
        <w:div w:id="1812013972">
          <w:marLeft w:val="0"/>
          <w:marRight w:val="0"/>
          <w:marTop w:val="0"/>
          <w:marBottom w:val="0"/>
          <w:divBdr>
            <w:top w:val="none" w:sz="0" w:space="0" w:color="auto"/>
            <w:left w:val="none" w:sz="0" w:space="0" w:color="auto"/>
            <w:bottom w:val="none" w:sz="0" w:space="0" w:color="auto"/>
            <w:right w:val="none" w:sz="0" w:space="0" w:color="auto"/>
          </w:divBdr>
        </w:div>
      </w:divsChild>
    </w:div>
    <w:div w:id="1774200683">
      <w:bodyDiv w:val="1"/>
      <w:marLeft w:val="0"/>
      <w:marRight w:val="0"/>
      <w:marTop w:val="0"/>
      <w:marBottom w:val="0"/>
      <w:divBdr>
        <w:top w:val="none" w:sz="0" w:space="0" w:color="auto"/>
        <w:left w:val="none" w:sz="0" w:space="0" w:color="auto"/>
        <w:bottom w:val="none" w:sz="0" w:space="0" w:color="auto"/>
        <w:right w:val="none" w:sz="0" w:space="0" w:color="auto"/>
      </w:divBdr>
      <w:divsChild>
        <w:div w:id="232469977">
          <w:marLeft w:val="0"/>
          <w:marRight w:val="0"/>
          <w:marTop w:val="0"/>
          <w:marBottom w:val="0"/>
          <w:divBdr>
            <w:top w:val="none" w:sz="0" w:space="0" w:color="auto"/>
            <w:left w:val="none" w:sz="0" w:space="0" w:color="auto"/>
            <w:bottom w:val="none" w:sz="0" w:space="0" w:color="auto"/>
            <w:right w:val="none" w:sz="0" w:space="0" w:color="auto"/>
          </w:divBdr>
        </w:div>
      </w:divsChild>
    </w:div>
    <w:div w:id="1819568192">
      <w:bodyDiv w:val="1"/>
      <w:marLeft w:val="0"/>
      <w:marRight w:val="0"/>
      <w:marTop w:val="0"/>
      <w:marBottom w:val="0"/>
      <w:divBdr>
        <w:top w:val="none" w:sz="0" w:space="0" w:color="auto"/>
        <w:left w:val="none" w:sz="0" w:space="0" w:color="auto"/>
        <w:bottom w:val="none" w:sz="0" w:space="0" w:color="auto"/>
        <w:right w:val="none" w:sz="0" w:space="0" w:color="auto"/>
      </w:divBdr>
      <w:divsChild>
        <w:div w:id="1205680164">
          <w:marLeft w:val="0"/>
          <w:marRight w:val="0"/>
          <w:marTop w:val="0"/>
          <w:marBottom w:val="0"/>
          <w:divBdr>
            <w:top w:val="none" w:sz="0" w:space="0" w:color="auto"/>
            <w:left w:val="none" w:sz="0" w:space="0" w:color="auto"/>
            <w:bottom w:val="none" w:sz="0" w:space="0" w:color="auto"/>
            <w:right w:val="none" w:sz="0" w:space="0" w:color="auto"/>
          </w:divBdr>
        </w:div>
      </w:divsChild>
    </w:div>
    <w:div w:id="188201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3.png"/><Relationship Id="rId39" Type="http://schemas.openxmlformats.org/officeDocument/2006/relationships/hyperlink" Target="https://support.cognex.com/docs/is_574/web/EN/ise/Content/Communications_Reference/EIP_Rockwell_EDS_L5XImport.htm?TocPath=Communications%20Reference|EtherNet%2FIP%20Communications|Communicate%20with%20a%20Rockwell%20ControlLogix%20PLC|In-Sight%205.x.x%20Firmware|Implicit%20Messages|Establish%20a%20Unicast%20Implicit%20Connection%20-%20In-Sight%205.x.x%20Firmware|_____2" TargetMode="External"/><Relationship Id="rId21" Type="http://schemas.openxmlformats.org/officeDocument/2006/relationships/image" Target="media/image8.png"/><Relationship Id="rId34" Type="http://schemas.openxmlformats.org/officeDocument/2006/relationships/image" Target="media/image19.png"/><Relationship Id="rId42" Type="http://schemas.openxmlformats.org/officeDocument/2006/relationships/image" Target="media/image21.gif"/><Relationship Id="rId47" Type="http://schemas.openxmlformats.org/officeDocument/2006/relationships/hyperlink" Target="https://support.cognex.com/docs/is_574/web/EN/ise/Content/Communications_Reference/EIP_Rockwell_GEM_L5XImport.htm" TargetMode="External"/><Relationship Id="rId50" Type="http://schemas.openxmlformats.org/officeDocument/2006/relationships/image" Target="media/image28.gif"/><Relationship Id="rId55" Type="http://schemas.openxmlformats.org/officeDocument/2006/relationships/footer" Target="footer1.xml"/><Relationship Id="rId7" Type="http://schemas.openxmlformats.org/officeDocument/2006/relationships/hyperlink" Target="https://support.cognex.com/docs/isvidi_130/web/EN/Help_ISViDi/Content/Topics/Comms/Profinet_Config_TIA_Portal/comms_setup_profinet_config_S7_TIA_02_01_PLC_HW.htm?TocPath=Industrial%20Communications|Setting%20Up%20the%20Industrial%20Communications|PROFINET%20PLC%20Setup|Configuring%20PROFINET%20Configuration%20for%20Siemens%20S7%20PLC%20with%20TIA%20Portal|Setting%20up%20the%20Siemens%20S7-1200%20PLC|_____1" TargetMode="External"/><Relationship Id="rId12" Type="http://schemas.openxmlformats.org/officeDocument/2006/relationships/image" Target="media/image1.png"/><Relationship Id="rId17" Type="http://schemas.openxmlformats.org/officeDocument/2006/relationships/hyperlink" Target="https://support.cognex.com/docs/isvidi_130/web/EN/Help_ISViDi/Content/Topics/Comms/Profinet_Config_TIA_Portal/comms_setup_profinet_config_S7_TIA_02_02_ImportGSD.htm" TargetMode="External"/><Relationship Id="rId25" Type="http://schemas.openxmlformats.org/officeDocument/2006/relationships/image" Target="media/image12.png"/><Relationship Id="rId33" Type="http://schemas.openxmlformats.org/officeDocument/2006/relationships/image" Target="media/image18.png"/><Relationship Id="rId38" Type="http://schemas.openxmlformats.org/officeDocument/2006/relationships/hyperlink" Target="https://support.cognex.com/docs/is_574/web/EN/ise/Content/Communications_Reference/ElectronicDataSheets.htm?TocPath=Communications%20Reference|EtherNet%2FIP%20Communications|Communicate%20with%20a%20Rockwell%20ControlLogix%20PLC|In-Sight%205.x.x%20Firmware|Implicit%20Messages|Establish%20a%20Unicast%20Implicit%20Connection%20-%20In-Sight%205.x.x%20Firmware|_____1" TargetMode="External"/><Relationship Id="rId46" Type="http://schemas.openxmlformats.org/officeDocument/2006/relationships/image" Target="media/image25.gif"/><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https://support.cognex.com/docs/isvidi_130/web/EN/Help_ISViDi/Content/Topics/Comms/Profinet_Config_TIA_Portal/comms_setup_profinet_config_S7_TIA_01_SetUpVision.htm" TargetMode="External"/><Relationship Id="rId29" Type="http://schemas.openxmlformats.org/officeDocument/2006/relationships/image" Target="media/image14.png"/><Relationship Id="rId41" Type="http://schemas.openxmlformats.org/officeDocument/2006/relationships/image" Target="media/image20.gif"/><Relationship Id="rId54"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upport.cognex.com/docs/isvidi_130/web/EN/Help_ISViDi/Content/Topics/Comms/Profinet_Config_TIA_Portal/comms_setup_profinet_config_S7_TIA_02_05_CreateMonitoringVars.htm?TocPath=Industrial%20Communications|Setting%20Up%20the%20Industrial%20Communications|PROFINET%20PLC%20Setup|Configuring%20PROFINET%20Configuration%20for%20Siemens%20S7%20PLC%20with%20TIA%20Portal|Setting%20up%20the%20Siemens%20S7-1200%20PLC|_____5" TargetMode="External"/><Relationship Id="rId24" Type="http://schemas.openxmlformats.org/officeDocument/2006/relationships/image" Target="media/image11.png"/><Relationship Id="rId32" Type="http://schemas.openxmlformats.org/officeDocument/2006/relationships/image" Target="media/image17.png"/><Relationship Id="rId37" Type="http://schemas.openxmlformats.org/officeDocument/2006/relationships/hyperlink" Target="https://support.cognex.com/docs/is_574/web/EN/ise/Content/Communications_Reference/EIP_Rockwell_EDS_L5XImport.htm" TargetMode="External"/><Relationship Id="rId40" Type="http://schemas.openxmlformats.org/officeDocument/2006/relationships/hyperlink" Target="https://support.cognex.com/docs/is_574/web/EN/ise/Content/Communications_Reference/EIP_Rockwell_GEM_L5XImport.htm?TocPath=Communications%20Reference|EtherNet%2FIP%20Communications|Communicate%20with%20a%20Rockwell%20ControlLogix%20PLC|In-Sight%205.x.x%20Firmware|Implicit%20Messages|Establish%20a%20Unicast%20Implicit%20Connection%20-%20In-Sight%205.x.x%20Firmware|_____3" TargetMode="External"/><Relationship Id="rId45" Type="http://schemas.openxmlformats.org/officeDocument/2006/relationships/image" Target="media/image24.gif"/><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0.png"/><Relationship Id="rId28" Type="http://schemas.openxmlformats.org/officeDocument/2006/relationships/hyperlink" Target="https://support.cognex.com/docs/isvidi_130/web/EN/Help_ISViDi/Content/Topics/Comms/comms_profinet_table_PC.htm" TargetMode="External"/><Relationship Id="rId36" Type="http://schemas.openxmlformats.org/officeDocument/2006/relationships/hyperlink" Target="https://support.cognex.com/docs/is_574/web/EN/ise/Content/Communications_Reference/ElectronicDataSheets.htm" TargetMode="External"/><Relationship Id="rId49" Type="http://schemas.openxmlformats.org/officeDocument/2006/relationships/image" Target="media/image27.gif"/><Relationship Id="rId57" Type="http://schemas.openxmlformats.org/officeDocument/2006/relationships/header" Target="header3.xml"/><Relationship Id="rId10" Type="http://schemas.openxmlformats.org/officeDocument/2006/relationships/hyperlink" Target="https://support.cognex.com/docs/isvidi_130/web/EN/Help_ISViDi/Content/Topics/Comms/Profinet_Config_TIA_Portal/comms_setup_profinet_config_S7_TIA_02_04_DownloadConfigPLC.htm?TocPath=Industrial%20Communications|Setting%20Up%20the%20Industrial%20Communications|PROFINET%20PLC%20Setup|Configuring%20PROFINET%20Configuration%20for%20Siemens%20S7%20PLC%20with%20TIA%20Portal|Setting%20up%20the%20Siemens%20S7-1200%20PLC|_____4" TargetMode="External"/><Relationship Id="rId19" Type="http://schemas.openxmlformats.org/officeDocument/2006/relationships/image" Target="media/image7.png"/><Relationship Id="rId31" Type="http://schemas.openxmlformats.org/officeDocument/2006/relationships/image" Target="media/image16.png"/><Relationship Id="rId44" Type="http://schemas.openxmlformats.org/officeDocument/2006/relationships/image" Target="media/image23.gif"/><Relationship Id="rId52" Type="http://schemas.openxmlformats.org/officeDocument/2006/relationships/image" Target="media/image30.gif"/><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upport.cognex.com/docs/isvidi_130/web/EN/Help_ISViDi/Content/Topics/Comms/Profinet_Config_TIA_Portal/comms_setup_profinet_config_S7_TIA_02_03_AddingVisionHWConfig.htm?TocPath=Industrial%20Communications|Setting%20Up%20the%20Industrial%20Communications|PROFINET%20PLC%20Setup|Configuring%20PROFINET%20Configuration%20for%20Siemens%20S7%20PLC%20with%20TIA%20Portal|Setting%20up%20the%20Siemens%20S7-1200%20PLC|_____3" TargetMode="External"/><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hyperlink" Target="https://support.cognex.com/docs/isvidi_130/web/EN/Help_ISViDi/Content/Topics/Comms/comms_profinet_table_isvidi.htm" TargetMode="External"/><Relationship Id="rId30" Type="http://schemas.openxmlformats.org/officeDocument/2006/relationships/image" Target="media/image15.png"/><Relationship Id="rId35" Type="http://schemas.openxmlformats.org/officeDocument/2006/relationships/hyperlink" Target="https://support.cognex.com/docs/isvidi_130/web/EN/Help_ISViDi/Content/Topics/Comms/comms_signals_vidi.htm" TargetMode="External"/><Relationship Id="rId43" Type="http://schemas.openxmlformats.org/officeDocument/2006/relationships/image" Target="media/image22.gif"/><Relationship Id="rId48" Type="http://schemas.openxmlformats.org/officeDocument/2006/relationships/image" Target="media/image26.gif"/><Relationship Id="rId56" Type="http://schemas.openxmlformats.org/officeDocument/2006/relationships/footer" Target="footer2.xml"/><Relationship Id="rId8" Type="http://schemas.openxmlformats.org/officeDocument/2006/relationships/hyperlink" Target="https://support.cognex.com/docs/isvidi_130/web/EN/Help_ISViDi/Content/Topics/Comms/Profinet_Config_TIA_Portal/comms_setup_profinet_config_S7_TIA_02_02_ImportGSD.htm?TocPath=Industrial%20Communications|Setting%20Up%20the%20Industrial%20Communications|PROFINET%20PLC%20Setup|Configuring%20PROFINET%20Configuration%20for%20Siemens%20S7%20PLC%20with%20TIA%20Portal|Setting%20up%20the%20Siemens%20S7-1200%20PLC|_____2" TargetMode="External"/><Relationship Id="rId51" Type="http://schemas.openxmlformats.org/officeDocument/2006/relationships/image" Target="media/image29.gi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635</TotalTime>
  <Pages>22</Pages>
  <Words>2740</Words>
  <Characters>15623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evans</dc:creator>
  <cp:keywords/>
  <dc:description/>
  <cp:lastModifiedBy>william evans</cp:lastModifiedBy>
  <cp:revision>9</cp:revision>
  <dcterms:created xsi:type="dcterms:W3CDTF">2024-04-09T14:43:00Z</dcterms:created>
  <dcterms:modified xsi:type="dcterms:W3CDTF">2024-10-01T17:00:00Z</dcterms:modified>
</cp:coreProperties>
</file>