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212F" w:rsidRDefault="00AA212F" w:rsidP="00CE0516">
      <w:pPr>
        <w:pStyle w:val="NormalWeb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EET Faculty Meeting:</w:t>
      </w:r>
    </w:p>
    <w:p w:rsidR="00AA212F" w:rsidRDefault="00AA212F" w:rsidP="00CE0516">
      <w:pPr>
        <w:pStyle w:val="NormalWeb"/>
        <w:rPr>
          <w:rFonts w:ascii="Calibri" w:hAnsi="Calibri" w:cs="Calibri"/>
          <w:color w:val="000000"/>
        </w:rPr>
      </w:pPr>
    </w:p>
    <w:p w:rsidR="00AA212F" w:rsidRDefault="00AA212F" w:rsidP="00CE0516">
      <w:pPr>
        <w:pStyle w:val="NormalWeb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NK, SM, WM, WE</w:t>
      </w:r>
    </w:p>
    <w:p w:rsidR="00AA212F" w:rsidRDefault="00AA212F" w:rsidP="00CE0516">
      <w:pPr>
        <w:pStyle w:val="NormalWeb"/>
        <w:rPr>
          <w:rFonts w:ascii="Calibri" w:hAnsi="Calibri" w:cs="Calibri"/>
          <w:color w:val="000000"/>
        </w:rPr>
      </w:pPr>
    </w:p>
    <w:p w:rsidR="00CE0516" w:rsidRDefault="00AA212F" w:rsidP="00CE0516">
      <w:pPr>
        <w:pStyle w:val="NormalWeb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(</w:t>
      </w:r>
      <w:r w:rsidR="00CE0516">
        <w:rPr>
          <w:rFonts w:ascii="Calibri" w:hAnsi="Calibri" w:cs="Calibri"/>
          <w:color w:val="000000"/>
        </w:rPr>
        <w:t xml:space="preserve">Please attend a meeting at 11:00 on Monday Aug. 19 after the dean's meeting to discuss this topic as well as the </w:t>
      </w:r>
      <w:proofErr w:type="gramStart"/>
      <w:r w:rsidR="00CE0516">
        <w:rPr>
          <w:rFonts w:ascii="Calibri" w:hAnsi="Calibri" w:cs="Calibri"/>
          <w:color w:val="000000"/>
        </w:rPr>
        <w:t>up-coming</w:t>
      </w:r>
      <w:proofErr w:type="gramEnd"/>
      <w:r w:rsidR="00CE0516">
        <w:rPr>
          <w:rFonts w:ascii="Calibri" w:hAnsi="Calibri" w:cs="Calibri"/>
          <w:color w:val="000000"/>
        </w:rPr>
        <w:t xml:space="preserve"> ABET changes.</w:t>
      </w:r>
    </w:p>
    <w:p w:rsidR="00CE0516" w:rsidRDefault="00CE0516" w:rsidP="00CE0516">
      <w:pPr>
        <w:pStyle w:val="NormalWeb"/>
        <w:rPr>
          <w:rFonts w:ascii="Calibri" w:hAnsi="Calibri" w:cs="Calibri"/>
          <w:color w:val="000000"/>
        </w:rPr>
      </w:pPr>
    </w:p>
    <w:p w:rsidR="00CE0516" w:rsidRDefault="00CE0516" w:rsidP="00CE0516">
      <w:pPr>
        <w:pStyle w:val="NormalWeb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We will meet in my office or the small conference room.</w:t>
      </w:r>
      <w:r w:rsidR="00AA212F">
        <w:rPr>
          <w:rFonts w:ascii="Calibri" w:hAnsi="Calibri" w:cs="Calibri"/>
          <w:color w:val="000000"/>
        </w:rPr>
        <w:t>)</w:t>
      </w:r>
    </w:p>
    <w:p w:rsidR="00CE0516" w:rsidRDefault="00CE0516" w:rsidP="00CE0516">
      <w:pPr>
        <w:pStyle w:val="NormalWeb"/>
        <w:rPr>
          <w:rFonts w:ascii="Calibri" w:hAnsi="Calibri" w:cs="Calibri"/>
          <w:color w:val="000000"/>
        </w:rPr>
      </w:pPr>
    </w:p>
    <w:p w:rsidR="00C868CF" w:rsidRDefault="00AA212F">
      <w:r>
        <w:t>Assignments made:</w:t>
      </w:r>
    </w:p>
    <w:tbl>
      <w:tblPr>
        <w:tblStyle w:val="TableGrid"/>
        <w:tblW w:w="9895" w:type="dxa"/>
        <w:tblLook w:val="04A0" w:firstRow="1" w:lastRow="0" w:firstColumn="1" w:lastColumn="0" w:noHBand="0" w:noVBand="1"/>
      </w:tblPr>
      <w:tblGrid>
        <w:gridCol w:w="6745"/>
        <w:gridCol w:w="1530"/>
        <w:gridCol w:w="1620"/>
      </w:tblGrid>
      <w:tr w:rsidR="00C868CF" w:rsidTr="00C868CF">
        <w:tc>
          <w:tcPr>
            <w:tcW w:w="6745" w:type="dxa"/>
          </w:tcPr>
          <w:p w:rsidR="00C868CF" w:rsidRDefault="008F7750">
            <w:r>
              <w:t>ETAC Criteria 3</w:t>
            </w:r>
            <w:r w:rsidR="00C868CF">
              <w:t xml:space="preserve"> 2019-20 Accreditation Cycle</w:t>
            </w:r>
          </w:p>
        </w:tc>
        <w:tc>
          <w:tcPr>
            <w:tcW w:w="1530" w:type="dxa"/>
          </w:tcPr>
          <w:p w:rsidR="00C868CF" w:rsidRDefault="00C868CF">
            <w:r>
              <w:t>Prior Cycle</w:t>
            </w:r>
          </w:p>
        </w:tc>
        <w:tc>
          <w:tcPr>
            <w:tcW w:w="1620" w:type="dxa"/>
          </w:tcPr>
          <w:p w:rsidR="00C868CF" w:rsidRDefault="00C868CF">
            <w:r>
              <w:t>Responsible</w:t>
            </w:r>
          </w:p>
        </w:tc>
      </w:tr>
      <w:tr w:rsidR="00C868CF" w:rsidTr="00C868CF">
        <w:tc>
          <w:tcPr>
            <w:tcW w:w="6745" w:type="dxa"/>
          </w:tcPr>
          <w:p w:rsidR="00C868CF" w:rsidRDefault="00C868CF" w:rsidP="00C868CF">
            <w:r>
              <w:t xml:space="preserve">(1) an ability to apply knowledge, techniques, skills and modern tools of mathematics, science, engineering, and technology to solve broadly-defined engineering problems </w:t>
            </w:r>
            <w:r>
              <w:t xml:space="preserve">appropriate to the discipline; </w:t>
            </w:r>
          </w:p>
        </w:tc>
        <w:tc>
          <w:tcPr>
            <w:tcW w:w="1530" w:type="dxa"/>
          </w:tcPr>
          <w:p w:rsidR="00C868CF" w:rsidRDefault="00C868CF">
            <w:r>
              <w:t>(a), (b),</w:t>
            </w:r>
            <w:r w:rsidR="008F7750">
              <w:t xml:space="preserve"> (f)</w:t>
            </w:r>
          </w:p>
        </w:tc>
        <w:tc>
          <w:tcPr>
            <w:tcW w:w="1620" w:type="dxa"/>
          </w:tcPr>
          <w:p w:rsidR="00C868CF" w:rsidRDefault="00C868CF"/>
        </w:tc>
      </w:tr>
      <w:tr w:rsidR="00C868CF" w:rsidTr="00C868CF">
        <w:tc>
          <w:tcPr>
            <w:tcW w:w="6745" w:type="dxa"/>
          </w:tcPr>
          <w:p w:rsidR="00C868CF" w:rsidRDefault="00C868CF" w:rsidP="00C868CF">
            <w:r>
              <w:t xml:space="preserve">(2) an ability to design systems, components, or processes meeting specified needs for broadly-defined engineering </w:t>
            </w:r>
            <w:proofErr w:type="spellStart"/>
            <w:r>
              <w:t>progrblems</w:t>
            </w:r>
            <w:proofErr w:type="spellEnd"/>
            <w:r w:rsidRPr="00C868CF">
              <w:t xml:space="preserve"> appropriate to the discipline;</w:t>
            </w:r>
          </w:p>
        </w:tc>
        <w:tc>
          <w:tcPr>
            <w:tcW w:w="1530" w:type="dxa"/>
          </w:tcPr>
          <w:p w:rsidR="00C868CF" w:rsidRDefault="008F7750">
            <w:r>
              <w:t>(d)</w:t>
            </w:r>
          </w:p>
        </w:tc>
        <w:tc>
          <w:tcPr>
            <w:tcW w:w="1620" w:type="dxa"/>
          </w:tcPr>
          <w:p w:rsidR="00C868CF" w:rsidRDefault="00C868CF"/>
        </w:tc>
      </w:tr>
      <w:tr w:rsidR="00C868CF" w:rsidTr="00C868CF">
        <w:tc>
          <w:tcPr>
            <w:tcW w:w="6745" w:type="dxa"/>
          </w:tcPr>
          <w:p w:rsidR="00C868CF" w:rsidRDefault="00C868CF" w:rsidP="00C868CF">
            <w:r>
              <w:t xml:space="preserve">(3) </w:t>
            </w:r>
            <w:r w:rsidRPr="00C868CF">
              <w:t>an ability to apply written, oral, and graphical communication in broadly defined technical and non-technical environments; and an ability to identify and use appropriate technical literature;</w:t>
            </w:r>
          </w:p>
        </w:tc>
        <w:tc>
          <w:tcPr>
            <w:tcW w:w="1530" w:type="dxa"/>
          </w:tcPr>
          <w:p w:rsidR="00C868CF" w:rsidRDefault="008F7750">
            <w:r>
              <w:t>(g)</w:t>
            </w:r>
          </w:p>
        </w:tc>
        <w:tc>
          <w:tcPr>
            <w:tcW w:w="1620" w:type="dxa"/>
          </w:tcPr>
          <w:p w:rsidR="00C868CF" w:rsidRDefault="00C868CF"/>
        </w:tc>
      </w:tr>
      <w:tr w:rsidR="00C868CF" w:rsidTr="00C868CF">
        <w:tc>
          <w:tcPr>
            <w:tcW w:w="6745" w:type="dxa"/>
          </w:tcPr>
          <w:p w:rsidR="00C868CF" w:rsidRDefault="00C868CF" w:rsidP="00C868CF">
            <w:r w:rsidRPr="00C868CF">
              <w:t>(4) an ability to conduct standard tests, measurements, and experiments and to analyze and interpret the results to improve processes;</w:t>
            </w:r>
          </w:p>
        </w:tc>
        <w:tc>
          <w:tcPr>
            <w:tcW w:w="1530" w:type="dxa"/>
          </w:tcPr>
          <w:p w:rsidR="00C868CF" w:rsidRDefault="00C868CF">
            <w:r>
              <w:t>(c)</w:t>
            </w:r>
          </w:p>
        </w:tc>
        <w:tc>
          <w:tcPr>
            <w:tcW w:w="1620" w:type="dxa"/>
          </w:tcPr>
          <w:p w:rsidR="00C868CF" w:rsidRDefault="00C868CF"/>
        </w:tc>
      </w:tr>
      <w:tr w:rsidR="00C868CF" w:rsidTr="00C868CF">
        <w:tc>
          <w:tcPr>
            <w:tcW w:w="6745" w:type="dxa"/>
          </w:tcPr>
          <w:p w:rsidR="00C868CF" w:rsidRPr="00C868CF" w:rsidRDefault="00C868CF" w:rsidP="00C868CF">
            <w:r>
              <w:t xml:space="preserve">(5) </w:t>
            </w:r>
            <w:proofErr w:type="gramStart"/>
            <w:r>
              <w:t>an</w:t>
            </w:r>
            <w:proofErr w:type="gramEnd"/>
            <w:r>
              <w:t xml:space="preserve"> ability to function effectively as a member as well as a leader on technical teams.</w:t>
            </w:r>
          </w:p>
        </w:tc>
        <w:tc>
          <w:tcPr>
            <w:tcW w:w="1530" w:type="dxa"/>
          </w:tcPr>
          <w:p w:rsidR="00C868CF" w:rsidRDefault="00C868CF">
            <w:r>
              <w:t>(e)</w:t>
            </w:r>
          </w:p>
        </w:tc>
        <w:tc>
          <w:tcPr>
            <w:tcW w:w="1620" w:type="dxa"/>
          </w:tcPr>
          <w:p w:rsidR="00C868CF" w:rsidRDefault="00C868CF"/>
        </w:tc>
      </w:tr>
      <w:tr w:rsidR="008F7750" w:rsidTr="00C868CF">
        <w:tc>
          <w:tcPr>
            <w:tcW w:w="6745" w:type="dxa"/>
          </w:tcPr>
          <w:p w:rsidR="008F7750" w:rsidRDefault="008F7750" w:rsidP="00C868CF"/>
        </w:tc>
        <w:tc>
          <w:tcPr>
            <w:tcW w:w="1530" w:type="dxa"/>
          </w:tcPr>
          <w:p w:rsidR="008F7750" w:rsidRDefault="008F7750"/>
        </w:tc>
        <w:tc>
          <w:tcPr>
            <w:tcW w:w="1620" w:type="dxa"/>
          </w:tcPr>
          <w:p w:rsidR="008F7750" w:rsidRDefault="008F7750"/>
        </w:tc>
      </w:tr>
      <w:tr w:rsidR="008F7750" w:rsidTr="00C868CF">
        <w:tc>
          <w:tcPr>
            <w:tcW w:w="6745" w:type="dxa"/>
          </w:tcPr>
          <w:p w:rsidR="008F7750" w:rsidRDefault="008F7750" w:rsidP="008F7750">
            <w:r>
              <w:t xml:space="preserve">ETAC Criteria </w:t>
            </w:r>
            <w:r>
              <w:t>5</w:t>
            </w:r>
            <w:r>
              <w:t xml:space="preserve"> 2019-20</w:t>
            </w:r>
          </w:p>
        </w:tc>
        <w:tc>
          <w:tcPr>
            <w:tcW w:w="1530" w:type="dxa"/>
          </w:tcPr>
          <w:p w:rsidR="008F7750" w:rsidRDefault="008F7750"/>
        </w:tc>
        <w:tc>
          <w:tcPr>
            <w:tcW w:w="1620" w:type="dxa"/>
          </w:tcPr>
          <w:p w:rsidR="008F7750" w:rsidRDefault="008F7750"/>
        </w:tc>
      </w:tr>
      <w:tr w:rsidR="008F7750" w:rsidTr="00C868CF">
        <w:tc>
          <w:tcPr>
            <w:tcW w:w="6745" w:type="dxa"/>
          </w:tcPr>
          <w:p w:rsidR="008F7750" w:rsidRDefault="008F7750" w:rsidP="00C868CF">
            <w:r>
              <w:t>Mathematics</w:t>
            </w:r>
          </w:p>
        </w:tc>
        <w:tc>
          <w:tcPr>
            <w:tcW w:w="1530" w:type="dxa"/>
          </w:tcPr>
          <w:p w:rsidR="008F7750" w:rsidRDefault="008F7750"/>
        </w:tc>
        <w:tc>
          <w:tcPr>
            <w:tcW w:w="1620" w:type="dxa"/>
          </w:tcPr>
          <w:p w:rsidR="008F7750" w:rsidRDefault="008F7750"/>
        </w:tc>
      </w:tr>
      <w:tr w:rsidR="008F7750" w:rsidTr="00C868CF">
        <w:tc>
          <w:tcPr>
            <w:tcW w:w="6745" w:type="dxa"/>
          </w:tcPr>
          <w:p w:rsidR="008F7750" w:rsidRDefault="008F7750" w:rsidP="008F7750">
            <w:r>
              <w:t>b. Baccalaureate degree curricula will include the application of integral and differential calculus, or other mathematics above the level of algebra and trigonometry, appropriate to the studen</w:t>
            </w:r>
            <w:r>
              <w:t xml:space="preserve">t outcomes and the discipline. </w:t>
            </w:r>
          </w:p>
        </w:tc>
        <w:tc>
          <w:tcPr>
            <w:tcW w:w="1530" w:type="dxa"/>
          </w:tcPr>
          <w:p w:rsidR="008F7750" w:rsidRDefault="008F7750"/>
        </w:tc>
        <w:tc>
          <w:tcPr>
            <w:tcW w:w="1620" w:type="dxa"/>
          </w:tcPr>
          <w:p w:rsidR="008F7750" w:rsidRDefault="008F7750">
            <w:r>
              <w:t>SM, NK. WM</w:t>
            </w:r>
          </w:p>
        </w:tc>
      </w:tr>
      <w:tr w:rsidR="008F7750" w:rsidTr="00C868CF">
        <w:tc>
          <w:tcPr>
            <w:tcW w:w="6745" w:type="dxa"/>
          </w:tcPr>
          <w:p w:rsidR="008F7750" w:rsidRDefault="008F7750" w:rsidP="00C868CF">
            <w:r>
              <w:t>Technical Content</w:t>
            </w:r>
          </w:p>
        </w:tc>
        <w:tc>
          <w:tcPr>
            <w:tcW w:w="1530" w:type="dxa"/>
          </w:tcPr>
          <w:p w:rsidR="008F7750" w:rsidRDefault="008F7750"/>
        </w:tc>
        <w:tc>
          <w:tcPr>
            <w:tcW w:w="1620" w:type="dxa"/>
          </w:tcPr>
          <w:p w:rsidR="008F7750" w:rsidRDefault="008F7750"/>
        </w:tc>
      </w:tr>
      <w:tr w:rsidR="008F7750" w:rsidTr="00C868CF">
        <w:tc>
          <w:tcPr>
            <w:tcW w:w="6745" w:type="dxa"/>
          </w:tcPr>
          <w:p w:rsidR="008F7750" w:rsidRDefault="008F7750" w:rsidP="008F7750">
            <w:r>
              <w:t xml:space="preserve">c. Develop student competency in the discipline; </w:t>
            </w:r>
          </w:p>
        </w:tc>
        <w:tc>
          <w:tcPr>
            <w:tcW w:w="1530" w:type="dxa"/>
          </w:tcPr>
          <w:p w:rsidR="008F7750" w:rsidRDefault="008F7750"/>
        </w:tc>
        <w:tc>
          <w:tcPr>
            <w:tcW w:w="1620" w:type="dxa"/>
          </w:tcPr>
          <w:p w:rsidR="008F7750" w:rsidRDefault="000201F5">
            <w:r>
              <w:t>All</w:t>
            </w:r>
          </w:p>
        </w:tc>
      </w:tr>
      <w:tr w:rsidR="008F7750" w:rsidTr="00C868CF">
        <w:tc>
          <w:tcPr>
            <w:tcW w:w="6745" w:type="dxa"/>
          </w:tcPr>
          <w:p w:rsidR="008F7750" w:rsidRDefault="008F7750" w:rsidP="008F7750">
            <w:r>
              <w:t xml:space="preserve">d. Include design considerations appropriate to the discipline and degree level such as: industry and engineering standards and codes; public safety and health; and local and global impact of engineering solutions on individuals, organizations and society; </w:t>
            </w:r>
          </w:p>
        </w:tc>
        <w:tc>
          <w:tcPr>
            <w:tcW w:w="1530" w:type="dxa"/>
          </w:tcPr>
          <w:p w:rsidR="008F7750" w:rsidRDefault="008F7750"/>
        </w:tc>
        <w:tc>
          <w:tcPr>
            <w:tcW w:w="1620" w:type="dxa"/>
          </w:tcPr>
          <w:p w:rsidR="008F7750" w:rsidRDefault="000201F5">
            <w:r>
              <w:t>All</w:t>
            </w:r>
          </w:p>
        </w:tc>
      </w:tr>
      <w:tr w:rsidR="008F7750" w:rsidTr="00C868CF">
        <w:tc>
          <w:tcPr>
            <w:tcW w:w="6745" w:type="dxa"/>
          </w:tcPr>
          <w:p w:rsidR="008F7750" w:rsidRDefault="008F7750" w:rsidP="008F7750">
            <w:r>
              <w:t>e. Include topics related to professional responsibilities, ethical responsibilities, respect for diversity, and quali</w:t>
            </w:r>
            <w:r>
              <w:t xml:space="preserve">ty and continuous improvement. </w:t>
            </w:r>
          </w:p>
        </w:tc>
        <w:tc>
          <w:tcPr>
            <w:tcW w:w="1530" w:type="dxa"/>
          </w:tcPr>
          <w:p w:rsidR="008F7750" w:rsidRDefault="008F7750"/>
        </w:tc>
        <w:tc>
          <w:tcPr>
            <w:tcW w:w="1620" w:type="dxa"/>
          </w:tcPr>
          <w:p w:rsidR="008F7750" w:rsidRDefault="000201F5">
            <w:r>
              <w:t>WE</w:t>
            </w:r>
          </w:p>
        </w:tc>
      </w:tr>
    </w:tbl>
    <w:p w:rsidR="00C868CF" w:rsidRDefault="00C868CF"/>
    <w:p w:rsidR="00DF4E3B" w:rsidRDefault="00AA212F" w:rsidP="00AA212F">
      <w:pPr>
        <w:pStyle w:val="NormalWeb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Wm Ted Evans</w:t>
      </w:r>
    </w:p>
    <w:p w:rsidR="00DF4E3B" w:rsidRDefault="00DF4E3B">
      <w:pPr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</w:rPr>
        <w:br w:type="page"/>
      </w:r>
    </w:p>
    <w:p w:rsidR="00DF4E3B" w:rsidRPr="00DF4E3B" w:rsidRDefault="00DF4E3B" w:rsidP="00DF4E3B">
      <w:pPr>
        <w:pStyle w:val="xxmsonormal"/>
      </w:pPr>
      <w:r w:rsidRPr="00DF4E3B">
        <w:lastRenderedPageBreak/>
        <w:t>All</w:t>
      </w:r>
    </w:p>
    <w:p w:rsidR="00DF4E3B" w:rsidRPr="00DF4E3B" w:rsidRDefault="00DF4E3B" w:rsidP="00DF4E3B">
      <w:pPr>
        <w:pStyle w:val="xxmsonormal"/>
      </w:pPr>
      <w:r w:rsidRPr="00DF4E3B">
        <w:t> </w:t>
      </w:r>
    </w:p>
    <w:p w:rsidR="00DF4E3B" w:rsidRPr="00DF4E3B" w:rsidRDefault="00DF4E3B" w:rsidP="00DF4E3B">
      <w:pPr>
        <w:pStyle w:val="xxmsonormal"/>
      </w:pPr>
      <w:r w:rsidRPr="00DF4E3B">
        <w:t>Either tomorrow (Thursday) at 10:00 or Monday, Oct. 28 at 11:00 in small conference room.  Which is better?</w:t>
      </w:r>
    </w:p>
    <w:p w:rsidR="00DF4E3B" w:rsidRPr="00DF4E3B" w:rsidRDefault="00DF4E3B" w:rsidP="00DF4E3B">
      <w:pPr>
        <w:pStyle w:val="xxmsonormal"/>
      </w:pPr>
      <w:r w:rsidRPr="00DF4E3B">
        <w:t> </w:t>
      </w:r>
    </w:p>
    <w:p w:rsidR="00DF4E3B" w:rsidRPr="00DF4E3B" w:rsidRDefault="00DF4E3B" w:rsidP="00DF4E3B">
      <w:pPr>
        <w:pStyle w:val="xxmsonormal"/>
      </w:pPr>
      <w:r w:rsidRPr="00DF4E3B">
        <w:t>Subject:</w:t>
      </w:r>
    </w:p>
    <w:p w:rsidR="00DF4E3B" w:rsidRPr="00DF4E3B" w:rsidRDefault="00DF4E3B" w:rsidP="00DF4E3B">
      <w:pPr>
        <w:pStyle w:val="xxmsonormal"/>
      </w:pPr>
      <w:r w:rsidRPr="00DF4E3B">
        <w:t> </w:t>
      </w:r>
    </w:p>
    <w:p w:rsidR="00DF4E3B" w:rsidRPr="00DF4E3B" w:rsidRDefault="00DF4E3B" w:rsidP="00DF4E3B">
      <w:pPr>
        <w:pStyle w:val="xxmsonormal"/>
      </w:pPr>
      <w:r w:rsidRPr="00DF4E3B">
        <w:t>Digital Course Plan</w:t>
      </w:r>
    </w:p>
    <w:p w:rsidR="00DF4E3B" w:rsidRPr="00DF4E3B" w:rsidRDefault="00DF4E3B" w:rsidP="00DF4E3B">
      <w:pPr>
        <w:pStyle w:val="xxmsonormal"/>
      </w:pPr>
      <w:r w:rsidRPr="00DF4E3B">
        <w:t>Robotics Course Proposal</w:t>
      </w:r>
    </w:p>
    <w:p w:rsidR="00DF4E3B" w:rsidRPr="00DF4E3B" w:rsidRDefault="00DF4E3B" w:rsidP="00DF4E3B">
      <w:pPr>
        <w:pStyle w:val="xxmsonormal"/>
      </w:pPr>
      <w:r w:rsidRPr="00DF4E3B">
        <w:t>Other</w:t>
      </w:r>
    </w:p>
    <w:p w:rsidR="00DF4E3B" w:rsidRPr="00DF4E3B" w:rsidRDefault="00DF4E3B" w:rsidP="00DF4E3B">
      <w:pPr>
        <w:pStyle w:val="xxmsonormal"/>
      </w:pPr>
      <w:r w:rsidRPr="00DF4E3B">
        <w:t> </w:t>
      </w:r>
    </w:p>
    <w:p w:rsidR="00DF4E3B" w:rsidRPr="00DF4E3B" w:rsidRDefault="00DF4E3B" w:rsidP="00DF4E3B">
      <w:pPr>
        <w:pStyle w:val="xxmsonormal"/>
      </w:pPr>
      <w:r w:rsidRPr="00DF4E3B">
        <w:t>No longer than an hour.</w:t>
      </w:r>
    </w:p>
    <w:p w:rsidR="00DF4E3B" w:rsidRPr="00DF4E3B" w:rsidRDefault="00DF4E3B" w:rsidP="00DF4E3B">
      <w:pPr>
        <w:pStyle w:val="xxmsonormal"/>
      </w:pPr>
      <w:r w:rsidRPr="00DF4E3B">
        <w:t> </w:t>
      </w:r>
    </w:p>
    <w:p w:rsidR="00DF4E3B" w:rsidRPr="00DF4E3B" w:rsidRDefault="00DF4E3B" w:rsidP="00DF4E3B">
      <w:pPr>
        <w:pStyle w:val="xxmsonormal"/>
      </w:pPr>
      <w:r w:rsidRPr="00DF4E3B">
        <w:t>Let me know.</w:t>
      </w:r>
    </w:p>
    <w:p w:rsidR="00DF4E3B" w:rsidRPr="00DF4E3B" w:rsidRDefault="00DF4E3B" w:rsidP="00DF4E3B">
      <w:pPr>
        <w:pStyle w:val="xxmsonormal"/>
      </w:pPr>
      <w:r w:rsidRPr="00DF4E3B">
        <w:t> </w:t>
      </w:r>
    </w:p>
    <w:p w:rsidR="00DF4E3B" w:rsidRPr="00DF4E3B" w:rsidRDefault="00F64AE6" w:rsidP="00DF4E3B">
      <w:pPr>
        <w:pStyle w:val="xxmsonormal"/>
      </w:pPr>
      <w:proofErr w:type="spellStart"/>
      <w:r>
        <w:t>w</w:t>
      </w:r>
      <w:bookmarkStart w:id="0" w:name="_GoBack"/>
      <w:bookmarkEnd w:id="0"/>
      <w:r w:rsidR="00DF4E3B" w:rsidRPr="00DF4E3B">
        <w:t>te</w:t>
      </w:r>
      <w:proofErr w:type="spellEnd"/>
    </w:p>
    <w:p w:rsidR="00DF4E3B" w:rsidRPr="00DF4E3B" w:rsidRDefault="00DF4E3B" w:rsidP="00DF4E3B">
      <w:pPr>
        <w:pStyle w:val="xxmsonormal"/>
      </w:pPr>
    </w:p>
    <w:p w:rsidR="00DF4E3B" w:rsidRPr="00DF4E3B" w:rsidRDefault="00DF4E3B" w:rsidP="00DF4E3B">
      <w:pPr>
        <w:rPr>
          <w:rFonts w:ascii="Calibri" w:hAnsi="Calibri" w:cs="Calibri"/>
        </w:rPr>
      </w:pPr>
      <w:proofErr w:type="gramStart"/>
      <w:r w:rsidRPr="00DF4E3B">
        <w:rPr>
          <w:rFonts w:ascii="Calibri" w:hAnsi="Calibri" w:cs="Calibri"/>
        </w:rPr>
        <w:t>Let’s</w:t>
      </w:r>
      <w:proofErr w:type="gramEnd"/>
      <w:r w:rsidRPr="00DF4E3B">
        <w:rPr>
          <w:rFonts w:ascii="Calibri" w:hAnsi="Calibri" w:cs="Calibri"/>
        </w:rPr>
        <w:t xml:space="preserve"> go to next Thursday.  Sorry for the inconvenience of tomorrow but I had another meeting come up.  At 10:00 Oct. 31. Small Conference Room.  </w:t>
      </w:r>
    </w:p>
    <w:p w:rsidR="00DF4E3B" w:rsidRDefault="00DF4E3B" w:rsidP="00DF4E3B">
      <w:pPr>
        <w:rPr>
          <w:rFonts w:ascii="Calibri" w:hAnsi="Calibri" w:cs="Calibri"/>
          <w:color w:val="1F497D"/>
        </w:rPr>
      </w:pPr>
      <w:r w:rsidRPr="00DF4E3B">
        <w:rPr>
          <w:rFonts w:ascii="Calibri" w:hAnsi="Calibri" w:cs="Calibri"/>
        </w:rPr>
        <w:t>Same Topics</w:t>
      </w:r>
      <w:r>
        <w:rPr>
          <w:rFonts w:ascii="Calibri" w:hAnsi="Calibri" w:cs="Calibri"/>
          <w:color w:val="1F497D"/>
        </w:rPr>
        <w:t>.</w:t>
      </w:r>
    </w:p>
    <w:p w:rsidR="00DF4E3B" w:rsidRDefault="00DF4E3B" w:rsidP="00DF4E3B">
      <w:pPr>
        <w:pStyle w:val="xxmsonormal"/>
      </w:pPr>
      <w:r>
        <w:t>Actually met in NE 1601:</w:t>
      </w:r>
    </w:p>
    <w:p w:rsidR="00DF4E3B" w:rsidRDefault="00DF4E3B" w:rsidP="00DF4E3B">
      <w:pPr>
        <w:pStyle w:val="xxmsonormal"/>
      </w:pPr>
    </w:p>
    <w:p w:rsidR="00DF4E3B" w:rsidRDefault="00DF4E3B" w:rsidP="00DF4E3B">
      <w:pPr>
        <w:pStyle w:val="xxmsonormal"/>
      </w:pPr>
      <w:r>
        <w:t>Present:</w:t>
      </w:r>
      <w:r>
        <w:tab/>
        <w:t>NK, SM, WM, WE</w:t>
      </w:r>
    </w:p>
    <w:p w:rsidR="00DF4E3B" w:rsidRDefault="00DF4E3B" w:rsidP="00DF4E3B">
      <w:pPr>
        <w:pStyle w:val="xxmsonormal"/>
      </w:pPr>
    </w:p>
    <w:p w:rsidR="00DF4E3B" w:rsidRDefault="00DF4E3B" w:rsidP="00DF4E3B">
      <w:pPr>
        <w:pStyle w:val="xxmsonormal"/>
      </w:pPr>
    </w:p>
    <w:p w:rsidR="00AA212F" w:rsidRDefault="00AA212F" w:rsidP="00AA212F">
      <w:pPr>
        <w:pStyle w:val="NormalWeb"/>
        <w:rPr>
          <w:rFonts w:ascii="Calibri" w:hAnsi="Calibri" w:cs="Calibri"/>
          <w:color w:val="000000"/>
        </w:rPr>
      </w:pPr>
    </w:p>
    <w:p w:rsidR="00AA212F" w:rsidRDefault="00AA212F" w:rsidP="00AA212F"/>
    <w:p w:rsidR="00AA212F" w:rsidRDefault="00AA212F"/>
    <w:sectPr w:rsidR="00AA21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68CF"/>
    <w:rsid w:val="000201F5"/>
    <w:rsid w:val="008F7750"/>
    <w:rsid w:val="009C1204"/>
    <w:rsid w:val="00AA212F"/>
    <w:rsid w:val="00C868CF"/>
    <w:rsid w:val="00CE0516"/>
    <w:rsid w:val="00DF4E3B"/>
    <w:rsid w:val="00F64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497230"/>
  <w15:chartTrackingRefBased/>
  <w15:docId w15:val="{28B9BBB4-A50D-4BB8-A293-06391B16A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868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CE0516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xxmsonormal">
    <w:name w:val="x_xmsonormal"/>
    <w:basedOn w:val="Normal"/>
    <w:uiPriority w:val="99"/>
    <w:rsid w:val="00DF4E3B"/>
    <w:pPr>
      <w:spacing w:after="0" w:line="240" w:lineRule="auto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806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355</Words>
  <Characters>2026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Toledo</Company>
  <LinksUpToDate>false</LinksUpToDate>
  <CharactersWithSpaces>2377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Evans, William T.</dc:creator>
  <cp:keywords/>
  <dc:description/>
  <cp:lastModifiedBy>Evans, William T.</cp:lastModifiedBy>
  <cp:revision>6</cp:revision>
  <dcterms:created xsi:type="dcterms:W3CDTF">2019-11-05T02:43:00Z</dcterms:created>
  <dcterms:modified xsi:type="dcterms:W3CDTF">2019-11-05T03:13:00Z</dcterms:modified>
</cp:coreProperties>
</file>